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A529E" w14:textId="6E658D76" w:rsidR="00E203C2" w:rsidRPr="00932F72" w:rsidRDefault="00E203C2" w:rsidP="00E203C2">
      <w:pPr>
        <w:rPr>
          <w:lang w:val="en-AU"/>
        </w:rPr>
      </w:pPr>
      <w:bookmarkStart w:id="0" w:name="_GoBack"/>
      <w:bookmarkEnd w:id="0"/>
      <w:r w:rsidRPr="00932F72">
        <w:rPr>
          <w:noProof/>
          <w:lang w:eastAsia="en-GB" w:bidi="ar-SA"/>
        </w:rPr>
        <w:drawing>
          <wp:inline distT="0" distB="0" distL="0" distR="0" wp14:anchorId="2BCBC072" wp14:editId="48F0DB0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01D8E62" w14:textId="77777777" w:rsidR="003C36C8" w:rsidRPr="003C36C8" w:rsidRDefault="003C36C8" w:rsidP="003C36C8">
      <w:pPr>
        <w:widowControl/>
        <w:rPr>
          <w:sz w:val="20"/>
          <w:lang w:bidi="ar-SA"/>
        </w:rPr>
      </w:pPr>
    </w:p>
    <w:p w14:paraId="38EC4787" w14:textId="77777777" w:rsidR="003C36C8" w:rsidRPr="003C36C8" w:rsidRDefault="003C36C8" w:rsidP="003C36C8">
      <w:pPr>
        <w:widowControl/>
        <w:tabs>
          <w:tab w:val="left" w:pos="851"/>
        </w:tabs>
        <w:rPr>
          <w:b/>
          <w:sz w:val="28"/>
          <w:szCs w:val="28"/>
          <w:lang w:bidi="ar-SA"/>
        </w:rPr>
      </w:pPr>
      <w:r w:rsidRPr="003C36C8">
        <w:rPr>
          <w:b/>
          <w:sz w:val="28"/>
          <w:szCs w:val="28"/>
          <w:lang w:bidi="ar-SA"/>
        </w:rPr>
        <w:t>1 November 2016</w:t>
      </w:r>
    </w:p>
    <w:p w14:paraId="5B80DE88" w14:textId="77777777" w:rsidR="003C36C8" w:rsidRPr="003C36C8" w:rsidRDefault="003C36C8" w:rsidP="003C36C8">
      <w:pPr>
        <w:widowControl/>
        <w:rPr>
          <w:b/>
          <w:sz w:val="28"/>
          <w:szCs w:val="28"/>
          <w:lang w:bidi="ar-SA"/>
        </w:rPr>
      </w:pPr>
      <w:r w:rsidRPr="003C36C8">
        <w:rPr>
          <w:b/>
          <w:sz w:val="28"/>
          <w:szCs w:val="28"/>
          <w:lang w:bidi="ar-SA"/>
        </w:rPr>
        <w:t>[27–16]</w:t>
      </w:r>
    </w:p>
    <w:p w14:paraId="79E5F519" w14:textId="77777777" w:rsidR="003C36C8" w:rsidRPr="003C36C8" w:rsidRDefault="003C36C8" w:rsidP="003C36C8">
      <w:pPr>
        <w:widowControl/>
        <w:rPr>
          <w:b/>
          <w:sz w:val="20"/>
          <w:lang w:bidi="ar-SA"/>
        </w:rPr>
      </w:pPr>
    </w:p>
    <w:p w14:paraId="54E7FF36" w14:textId="32BEE147" w:rsidR="00092CDA" w:rsidRPr="00932F72" w:rsidRDefault="00092CDA" w:rsidP="00690206">
      <w:pPr>
        <w:pStyle w:val="FSTitle"/>
        <w:rPr>
          <w:b/>
          <w:lang w:val="en-AU"/>
        </w:rPr>
      </w:pPr>
      <w:r w:rsidRPr="00932F72">
        <w:rPr>
          <w:b/>
          <w:lang w:val="en-AU"/>
        </w:rPr>
        <w:t>S</w:t>
      </w:r>
      <w:r w:rsidR="00B12F1E" w:rsidRPr="00932F72">
        <w:rPr>
          <w:b/>
          <w:lang w:val="en-AU"/>
        </w:rPr>
        <w:t>upporting document</w:t>
      </w:r>
      <w:r w:rsidRPr="00932F72">
        <w:rPr>
          <w:b/>
          <w:lang w:val="en-AU"/>
        </w:rPr>
        <w:t xml:space="preserve"> </w:t>
      </w:r>
      <w:r w:rsidR="00B52FF0" w:rsidRPr="00932F72">
        <w:rPr>
          <w:b/>
          <w:lang w:val="en-AU"/>
        </w:rPr>
        <w:t>2</w:t>
      </w:r>
    </w:p>
    <w:p w14:paraId="6336AB28" w14:textId="77777777" w:rsidR="00BA24E2" w:rsidRPr="00932F72" w:rsidRDefault="00BA24E2" w:rsidP="00E203C2">
      <w:pPr>
        <w:rPr>
          <w:lang w:val="en-AU"/>
        </w:rPr>
      </w:pPr>
    </w:p>
    <w:p w14:paraId="435116FD" w14:textId="4D6EE622" w:rsidR="00D056F1" w:rsidRPr="00932F72" w:rsidRDefault="00EB46DC" w:rsidP="00690206">
      <w:pPr>
        <w:pStyle w:val="FSTitle"/>
        <w:rPr>
          <w:lang w:val="en-AU"/>
        </w:rPr>
      </w:pPr>
      <w:r>
        <w:t>Assessment against the Policy Guidelines</w:t>
      </w:r>
      <w:r w:rsidR="00B52FF0" w:rsidRPr="00932F72">
        <w:rPr>
          <w:lang w:val="en-AU"/>
        </w:rPr>
        <w:t xml:space="preserve"> </w:t>
      </w:r>
      <w:r w:rsidR="006B5EBE" w:rsidRPr="00932F72">
        <w:rPr>
          <w:lang w:val="en-AU"/>
        </w:rPr>
        <w:t xml:space="preserve">– </w:t>
      </w:r>
      <w:r w:rsidR="00D056F1" w:rsidRPr="00932F72">
        <w:rPr>
          <w:lang w:val="en-AU"/>
        </w:rPr>
        <w:t>A</w:t>
      </w:r>
      <w:r w:rsidR="00B12F1E" w:rsidRPr="00932F72">
        <w:rPr>
          <w:lang w:val="en-AU"/>
        </w:rPr>
        <w:t>pplication</w:t>
      </w:r>
      <w:r w:rsidR="00B52FF0" w:rsidRPr="00932F72">
        <w:rPr>
          <w:lang w:val="en-AU"/>
        </w:rPr>
        <w:t xml:space="preserve"> </w:t>
      </w:r>
      <w:r w:rsidR="00D056F1" w:rsidRPr="00932F72">
        <w:rPr>
          <w:lang w:val="en-AU"/>
        </w:rPr>
        <w:t>A</w:t>
      </w:r>
      <w:r w:rsidR="00B52FF0" w:rsidRPr="00932F72">
        <w:rPr>
          <w:lang w:val="en-AU"/>
        </w:rPr>
        <w:t>1124</w:t>
      </w:r>
    </w:p>
    <w:p w14:paraId="18EBD29C" w14:textId="77777777" w:rsidR="00E203C2" w:rsidRPr="00932F72" w:rsidRDefault="00E203C2" w:rsidP="00690206">
      <w:pPr>
        <w:rPr>
          <w:lang w:val="en-AU"/>
        </w:rPr>
      </w:pPr>
    </w:p>
    <w:p w14:paraId="1AB6561F" w14:textId="77777777" w:rsidR="00B52FF0" w:rsidRPr="00932F72" w:rsidRDefault="00B52FF0" w:rsidP="00B52FF0">
      <w:pPr>
        <w:pStyle w:val="FSTitle"/>
        <w:rPr>
          <w:color w:val="FF0000"/>
          <w:lang w:val="en-AU"/>
        </w:rPr>
      </w:pPr>
      <w:r w:rsidRPr="00932F72">
        <w:rPr>
          <w:rFonts w:cs="Segoe UI"/>
          <w:color w:val="262626"/>
          <w:lang w:val="en-AU"/>
        </w:rPr>
        <w:t>Alternative DHA-rich Algal Oil for Infant Formula Products</w:t>
      </w:r>
    </w:p>
    <w:p w14:paraId="2F1D7E06" w14:textId="77777777" w:rsidR="00E203C2" w:rsidRPr="00932F72" w:rsidRDefault="00E203C2" w:rsidP="00E203C2">
      <w:pPr>
        <w:pBdr>
          <w:bottom w:val="single" w:sz="12" w:space="1" w:color="auto"/>
        </w:pBdr>
        <w:spacing w:line="280" w:lineRule="exact"/>
        <w:rPr>
          <w:rFonts w:cs="Arial"/>
          <w:bCs/>
          <w:lang w:val="en-AU"/>
        </w:rPr>
      </w:pPr>
    </w:p>
    <w:p w14:paraId="225BD955" w14:textId="016AE85C" w:rsidR="008C258E" w:rsidRPr="00932F72" w:rsidRDefault="008059A0" w:rsidP="00F86EEB">
      <w:pPr>
        <w:pStyle w:val="Heading1"/>
      </w:pPr>
      <w:bookmarkStart w:id="1" w:name="_Toc338769349"/>
      <w:r w:rsidRPr="00932F72">
        <w:rPr>
          <w:lang w:val="en-AU"/>
        </w:rPr>
        <w:t>1</w:t>
      </w:r>
      <w:r w:rsidRPr="00932F72">
        <w:rPr>
          <w:lang w:val="en-AU"/>
        </w:rPr>
        <w:tab/>
      </w:r>
      <w:r w:rsidR="008C258E" w:rsidRPr="00932F72">
        <w:rPr>
          <w:lang w:val="en-AU"/>
        </w:rPr>
        <w:t>Regulation of Infant Formula Products</w:t>
      </w:r>
      <w:bookmarkEnd w:id="1"/>
    </w:p>
    <w:p w14:paraId="6DC59DA3" w14:textId="3DB72AAC" w:rsidR="00D03DF2" w:rsidRDefault="00D03DF2" w:rsidP="00F86EEB">
      <w:pPr>
        <w:rPr>
          <w:lang w:val="en-AU"/>
        </w:rPr>
      </w:pPr>
      <w:r w:rsidRPr="00932F72">
        <w:rPr>
          <w:lang w:val="en-AU"/>
        </w:rPr>
        <w:t xml:space="preserve">FSANZ has had regard to the Ministerial Policy Guideline on the </w:t>
      </w:r>
      <w:r w:rsidRPr="00932F72">
        <w:rPr>
          <w:i/>
          <w:lang w:val="en-AU"/>
        </w:rPr>
        <w:t xml:space="preserve">Regulation of Infant Formula Products </w:t>
      </w:r>
      <w:r w:rsidRPr="00932F72">
        <w:rPr>
          <w:lang w:val="en-AU"/>
        </w:rPr>
        <w:t xml:space="preserve">(the Policy Guideline) in our assessment of this Application. The Policy Guideline includes specific policy principles relating to composition, labelling and advertising, as well as overarching principles. The table below summarises our assessment in relation to these specific policy principles, with particular focus on the principles for composition. </w:t>
      </w:r>
    </w:p>
    <w:p w14:paraId="6139A9E6" w14:textId="77777777" w:rsidR="00531B96" w:rsidRDefault="00531B96" w:rsidP="00F86EEB">
      <w:pPr>
        <w:rPr>
          <w:lang w:val="en-AU"/>
        </w:rPr>
      </w:pPr>
    </w:p>
    <w:tbl>
      <w:tblPr>
        <w:tblStyle w:val="TableGrid"/>
        <w:tblW w:w="0" w:type="auto"/>
        <w:tblLook w:val="04A0" w:firstRow="1" w:lastRow="0" w:firstColumn="1" w:lastColumn="0" w:noHBand="0" w:noVBand="1"/>
        <w:tblDescription w:val="This table summarises FSANZ's assessment in relation to the specific policy principles of the Ministerial Policy Guideline on the Regulaiton of Infant formula Products "/>
      </w:tblPr>
      <w:tblGrid>
        <w:gridCol w:w="5795"/>
        <w:gridCol w:w="5795"/>
        <w:gridCol w:w="2584"/>
      </w:tblGrid>
      <w:tr w:rsidR="00D03DF2" w:rsidRPr="00932F72" w14:paraId="6DA96D23" w14:textId="77777777" w:rsidTr="00FC190F">
        <w:trPr>
          <w:tblHeader/>
        </w:trPr>
        <w:tc>
          <w:tcPr>
            <w:tcW w:w="5795" w:type="dxa"/>
            <w:shd w:val="clear" w:color="auto" w:fill="D6E3BC" w:themeFill="accent3" w:themeFillTint="66"/>
          </w:tcPr>
          <w:p w14:paraId="513D6A6E" w14:textId="77777777" w:rsidR="00D03DF2" w:rsidRPr="00932F72" w:rsidRDefault="00D03DF2" w:rsidP="00A37535">
            <w:pPr>
              <w:spacing w:before="120" w:after="120"/>
              <w:rPr>
                <w:rFonts w:cs="Arial"/>
                <w:b/>
                <w:lang w:val="en-AU"/>
              </w:rPr>
            </w:pPr>
            <w:r w:rsidRPr="00932F72">
              <w:rPr>
                <w:rFonts w:cs="Arial"/>
                <w:b/>
                <w:lang w:val="en-AU"/>
              </w:rPr>
              <w:t>Specific Policy Principles</w:t>
            </w:r>
          </w:p>
        </w:tc>
        <w:tc>
          <w:tcPr>
            <w:tcW w:w="5795" w:type="dxa"/>
            <w:shd w:val="clear" w:color="auto" w:fill="D6E3BC" w:themeFill="accent3" w:themeFillTint="66"/>
          </w:tcPr>
          <w:p w14:paraId="3C28CD50" w14:textId="77777777" w:rsidR="00D03DF2" w:rsidRPr="00932F72" w:rsidRDefault="00D03DF2" w:rsidP="00A37535">
            <w:pPr>
              <w:spacing w:before="120" w:after="120"/>
              <w:rPr>
                <w:rFonts w:cs="Arial"/>
                <w:b/>
                <w:lang w:val="en-AU"/>
              </w:rPr>
            </w:pPr>
            <w:r w:rsidRPr="00932F72">
              <w:rPr>
                <w:rFonts w:cs="Arial"/>
                <w:b/>
                <w:lang w:val="en-AU"/>
              </w:rPr>
              <w:t>Approach</w:t>
            </w:r>
          </w:p>
        </w:tc>
        <w:tc>
          <w:tcPr>
            <w:tcW w:w="2584" w:type="dxa"/>
            <w:shd w:val="clear" w:color="auto" w:fill="D6E3BC" w:themeFill="accent3" w:themeFillTint="66"/>
          </w:tcPr>
          <w:p w14:paraId="04593741" w14:textId="77777777" w:rsidR="00D03DF2" w:rsidRPr="00932F72" w:rsidRDefault="00D03DF2" w:rsidP="00A37535">
            <w:pPr>
              <w:spacing w:before="120" w:after="120"/>
              <w:rPr>
                <w:rFonts w:cs="Arial"/>
                <w:b/>
                <w:lang w:val="en-AU"/>
              </w:rPr>
            </w:pPr>
            <w:r w:rsidRPr="00932F72">
              <w:rPr>
                <w:rFonts w:cs="Arial"/>
                <w:b/>
                <w:lang w:val="en-AU"/>
              </w:rPr>
              <w:t>Does the assessment meet the Policy Principles?</w:t>
            </w:r>
          </w:p>
        </w:tc>
      </w:tr>
      <w:tr w:rsidR="00D03DF2" w:rsidRPr="00932F72" w14:paraId="24AA3067" w14:textId="77777777" w:rsidTr="00FC190F">
        <w:tc>
          <w:tcPr>
            <w:tcW w:w="14174" w:type="dxa"/>
            <w:gridSpan w:val="3"/>
          </w:tcPr>
          <w:p w14:paraId="17CCBE38" w14:textId="77777777" w:rsidR="00D03DF2" w:rsidRPr="00932F72" w:rsidRDefault="00D03DF2" w:rsidP="00A37535">
            <w:pPr>
              <w:spacing w:before="120" w:after="120"/>
              <w:rPr>
                <w:rFonts w:cs="Arial"/>
                <w:b/>
                <w:lang w:val="en-AU"/>
              </w:rPr>
            </w:pPr>
            <w:r w:rsidRPr="00932F72">
              <w:rPr>
                <w:rFonts w:cs="Arial"/>
                <w:b/>
                <w:i/>
                <w:lang w:val="en-AU"/>
              </w:rPr>
              <w:t>Overarching</w:t>
            </w:r>
          </w:p>
        </w:tc>
      </w:tr>
      <w:tr w:rsidR="00D03DF2" w:rsidRPr="00932F72" w14:paraId="768C9937" w14:textId="77777777" w:rsidTr="00FC190F">
        <w:tc>
          <w:tcPr>
            <w:tcW w:w="5795" w:type="dxa"/>
          </w:tcPr>
          <w:p w14:paraId="300FB2E4" w14:textId="77777777" w:rsidR="00D03DF2" w:rsidRPr="00F86EEB" w:rsidRDefault="00D03DF2" w:rsidP="00A37535">
            <w:pPr>
              <w:spacing w:before="120" w:after="120"/>
              <w:rPr>
                <w:rFonts w:cs="Arial"/>
                <w:b/>
                <w:sz w:val="20"/>
                <w:lang w:val="en-AU"/>
              </w:rPr>
            </w:pPr>
            <w:r w:rsidRPr="00F86EEB">
              <w:rPr>
                <w:rFonts w:cs="Arial"/>
                <w:sz w:val="20"/>
                <w:lang w:val="en-AU"/>
              </w:rPr>
              <w:t>(a) The regulation of infant formula products should recognise that breastfeeding is the normal and recommended way to feed an infant.</w:t>
            </w:r>
          </w:p>
        </w:tc>
        <w:tc>
          <w:tcPr>
            <w:tcW w:w="5795" w:type="dxa"/>
          </w:tcPr>
          <w:p w14:paraId="12CF92FE" w14:textId="77777777" w:rsidR="00D03DF2" w:rsidRPr="00F86EEB" w:rsidRDefault="00D03DF2" w:rsidP="00A37535">
            <w:pPr>
              <w:spacing w:before="120" w:after="120"/>
              <w:rPr>
                <w:rFonts w:cs="Arial"/>
                <w:sz w:val="20"/>
                <w:lang w:val="en-AU"/>
              </w:rPr>
            </w:pPr>
            <w:r w:rsidRPr="00F86EEB">
              <w:rPr>
                <w:rFonts w:cs="Arial"/>
                <w:sz w:val="20"/>
                <w:lang w:val="en-AU"/>
              </w:rPr>
              <w:t>FSANZ acknowledges in this report that breastfeeding is the recommended way to feed an infant.</w:t>
            </w:r>
          </w:p>
        </w:tc>
        <w:tc>
          <w:tcPr>
            <w:tcW w:w="2584" w:type="dxa"/>
          </w:tcPr>
          <w:p w14:paraId="4046C8A8" w14:textId="77777777" w:rsidR="00D03DF2" w:rsidRPr="00F86EEB" w:rsidRDefault="00D03DF2" w:rsidP="00A37535">
            <w:pPr>
              <w:spacing w:before="120" w:after="120"/>
              <w:rPr>
                <w:rFonts w:cs="Arial"/>
                <w:sz w:val="20"/>
                <w:lang w:val="en-AU"/>
              </w:rPr>
            </w:pPr>
            <w:r w:rsidRPr="00F86EEB">
              <w:rPr>
                <w:rFonts w:cs="Arial"/>
                <w:sz w:val="20"/>
                <w:lang w:val="en-AU"/>
              </w:rPr>
              <w:t>Not applicable</w:t>
            </w:r>
          </w:p>
        </w:tc>
      </w:tr>
      <w:tr w:rsidR="00D03DF2" w:rsidRPr="00932F72" w14:paraId="307265C5" w14:textId="77777777" w:rsidTr="00531B96">
        <w:trPr>
          <w:cantSplit/>
        </w:trPr>
        <w:tc>
          <w:tcPr>
            <w:tcW w:w="5795" w:type="dxa"/>
          </w:tcPr>
          <w:p w14:paraId="0ADEB810" w14:textId="77777777" w:rsidR="00D03DF2" w:rsidRPr="00F86EEB" w:rsidRDefault="00D03DF2" w:rsidP="00A37535">
            <w:pPr>
              <w:spacing w:before="120" w:after="120"/>
              <w:rPr>
                <w:rFonts w:cs="Arial"/>
                <w:sz w:val="20"/>
                <w:lang w:val="en-AU"/>
              </w:rPr>
            </w:pPr>
            <w:r w:rsidRPr="00F86EEB">
              <w:rPr>
                <w:rFonts w:cs="Arial"/>
                <w:sz w:val="20"/>
                <w:lang w:val="en-AU"/>
              </w:rPr>
              <w:lastRenderedPageBreak/>
              <w:t>(b) The regulation of infant formula products should not be inconsistent with the national nutrition policies and guidelines of Australia and New Zealand that are relevant to infant feeding.</w:t>
            </w:r>
          </w:p>
        </w:tc>
        <w:tc>
          <w:tcPr>
            <w:tcW w:w="5795" w:type="dxa"/>
          </w:tcPr>
          <w:p w14:paraId="6C343339" w14:textId="77777777" w:rsidR="00D03DF2" w:rsidRPr="00F86EEB" w:rsidRDefault="00D03DF2" w:rsidP="00A37535">
            <w:pPr>
              <w:spacing w:before="120" w:after="120"/>
              <w:rPr>
                <w:rFonts w:cs="Arial"/>
                <w:sz w:val="20"/>
                <w:lang w:val="en-AU"/>
              </w:rPr>
            </w:pPr>
            <w:r w:rsidRPr="00F86EEB">
              <w:rPr>
                <w:rFonts w:cs="Arial"/>
                <w:sz w:val="20"/>
                <w:lang w:val="en-AU"/>
              </w:rPr>
              <w:t xml:space="preserve">The proposed change is not inconsistent with current national nutrition polices and guidelines for infant feeding. </w:t>
            </w:r>
          </w:p>
        </w:tc>
        <w:tc>
          <w:tcPr>
            <w:tcW w:w="2584" w:type="dxa"/>
          </w:tcPr>
          <w:p w14:paraId="299E1402" w14:textId="77777777" w:rsidR="00D03DF2" w:rsidRPr="00F86EEB" w:rsidRDefault="00D03DF2" w:rsidP="00A37535">
            <w:pPr>
              <w:spacing w:before="120" w:after="120"/>
              <w:rPr>
                <w:rFonts w:cs="Arial"/>
                <w:sz w:val="20"/>
                <w:lang w:val="en-AU"/>
              </w:rPr>
            </w:pPr>
            <w:r w:rsidRPr="00F86EEB">
              <w:rPr>
                <w:rFonts w:cs="Arial"/>
                <w:sz w:val="20"/>
                <w:lang w:val="en-AU"/>
              </w:rPr>
              <w:t>Not applicable</w:t>
            </w:r>
          </w:p>
        </w:tc>
      </w:tr>
      <w:tr w:rsidR="00D03DF2" w:rsidRPr="00932F72" w14:paraId="4E10D91D" w14:textId="77777777" w:rsidTr="00FC190F">
        <w:trPr>
          <w:cantSplit/>
        </w:trPr>
        <w:tc>
          <w:tcPr>
            <w:tcW w:w="5795" w:type="dxa"/>
          </w:tcPr>
          <w:p w14:paraId="2FB716A0" w14:textId="77777777" w:rsidR="00D03DF2" w:rsidRPr="00F86EEB" w:rsidRDefault="00D03DF2" w:rsidP="00A37535">
            <w:pPr>
              <w:spacing w:before="120" w:after="120"/>
              <w:rPr>
                <w:rFonts w:cs="Arial"/>
                <w:b/>
                <w:sz w:val="20"/>
                <w:lang w:val="en-AU"/>
              </w:rPr>
            </w:pPr>
            <w:r w:rsidRPr="00F86EEB">
              <w:rPr>
                <w:rFonts w:cs="Arial"/>
                <w:sz w:val="20"/>
                <w:lang w:val="en-AU"/>
              </w:rPr>
              <w:t>(c) The regulation of infant formula products should be based on risk analysis, taking into account the vulnerability of the population for whom they are intended and the importance of these products in the diets of formula fed infants.</w:t>
            </w:r>
          </w:p>
        </w:tc>
        <w:tc>
          <w:tcPr>
            <w:tcW w:w="5795" w:type="dxa"/>
          </w:tcPr>
          <w:p w14:paraId="1DEBCCB9" w14:textId="612F5EE8" w:rsidR="00D03DF2" w:rsidRPr="00F86EEB" w:rsidRDefault="00D03DF2" w:rsidP="00A37535">
            <w:pPr>
              <w:spacing w:before="120" w:after="120"/>
              <w:rPr>
                <w:rFonts w:cs="Arial"/>
                <w:sz w:val="20"/>
                <w:lang w:val="en-AU"/>
              </w:rPr>
            </w:pPr>
            <w:r w:rsidRPr="00F86EEB">
              <w:rPr>
                <w:rFonts w:cs="Arial"/>
                <w:sz w:val="20"/>
                <w:lang w:val="en-AU"/>
              </w:rPr>
              <w:t>FSANZ assessed the Application using a risk analysis approach. A comparative nutritional safety assessment approach was taken for the assessment of this Application.</w:t>
            </w:r>
            <w:r w:rsidR="00EC71AE" w:rsidRPr="00F86EEB">
              <w:rPr>
                <w:rFonts w:cs="Arial"/>
                <w:sz w:val="20"/>
                <w:lang w:val="en-AU"/>
              </w:rPr>
              <w:t xml:space="preserve"> </w:t>
            </w:r>
          </w:p>
          <w:p w14:paraId="70A129F7" w14:textId="60F95638" w:rsidR="00B47B24" w:rsidRPr="00F86EEB" w:rsidRDefault="00D03DF2" w:rsidP="00A37535">
            <w:pPr>
              <w:rPr>
                <w:rFonts w:cs="Arial"/>
                <w:sz w:val="20"/>
                <w:lang w:val="en-AU"/>
              </w:rPr>
            </w:pPr>
            <w:r w:rsidRPr="00F86EEB">
              <w:rPr>
                <w:rFonts w:cs="Arial"/>
                <w:sz w:val="20"/>
                <w:lang w:val="en-AU"/>
              </w:rPr>
              <w:t xml:space="preserve">The </w:t>
            </w:r>
            <w:r w:rsidR="007920B0" w:rsidRPr="00F86EEB">
              <w:rPr>
                <w:rFonts w:cs="Arial"/>
                <w:sz w:val="20"/>
                <w:lang w:val="en-AU"/>
              </w:rPr>
              <w:t xml:space="preserve">Risk </w:t>
            </w:r>
            <w:r w:rsidRPr="00F86EEB">
              <w:rPr>
                <w:rFonts w:cs="Arial"/>
                <w:sz w:val="20"/>
                <w:lang w:val="en-AU"/>
              </w:rPr>
              <w:t xml:space="preserve">and </w:t>
            </w:r>
            <w:r w:rsidR="007920B0" w:rsidRPr="00F86EEB">
              <w:rPr>
                <w:rFonts w:cs="Arial"/>
                <w:sz w:val="20"/>
                <w:lang w:val="en-AU"/>
              </w:rPr>
              <w:t xml:space="preserve">Technical </w:t>
            </w:r>
            <w:r w:rsidRPr="00F86EEB">
              <w:rPr>
                <w:rFonts w:cs="Arial"/>
                <w:sz w:val="20"/>
                <w:lang w:val="en-AU"/>
              </w:rPr>
              <w:t xml:space="preserve">assessment considered the safety of the optional addition of </w:t>
            </w:r>
            <w:r w:rsidR="00EC71AE" w:rsidRPr="00F86EEB">
              <w:rPr>
                <w:rFonts w:cs="Arial"/>
                <w:sz w:val="20"/>
                <w:lang w:val="en-AU"/>
              </w:rPr>
              <w:t xml:space="preserve">the new alternative DHA-rich oil </w:t>
            </w:r>
            <w:r w:rsidRPr="00F86EEB">
              <w:rPr>
                <w:rFonts w:cs="Arial"/>
                <w:sz w:val="20"/>
                <w:lang w:val="en-AU"/>
              </w:rPr>
              <w:t xml:space="preserve">to infant formula products. </w:t>
            </w:r>
            <w:r w:rsidR="00B47B24" w:rsidRPr="00F86EEB">
              <w:rPr>
                <w:rFonts w:cs="Arial"/>
                <w:sz w:val="20"/>
                <w:lang w:val="en-AU"/>
              </w:rPr>
              <w:t>The risk management considered the vulnerability of the intended population (i.e. formula-fed infants).</w:t>
            </w:r>
          </w:p>
          <w:p w14:paraId="63885F4E" w14:textId="3D2FECA8" w:rsidR="00D03DF2" w:rsidRPr="00F86EEB" w:rsidRDefault="00D03DF2" w:rsidP="00F86EEB">
            <w:pPr>
              <w:spacing w:before="120" w:after="120"/>
              <w:rPr>
                <w:rFonts w:cs="Arial"/>
                <w:sz w:val="20"/>
                <w:lang w:val="en-AU" w:eastAsia="en-AU"/>
              </w:rPr>
            </w:pPr>
            <w:r w:rsidRPr="00F86EEB">
              <w:rPr>
                <w:rFonts w:cs="Arial"/>
                <w:sz w:val="20"/>
                <w:lang w:val="en-AU"/>
              </w:rPr>
              <w:t xml:space="preserve">The </w:t>
            </w:r>
            <w:r w:rsidR="008059A0" w:rsidRPr="00F86EEB">
              <w:rPr>
                <w:rFonts w:cs="Arial"/>
                <w:sz w:val="20"/>
                <w:lang w:val="en-AU"/>
              </w:rPr>
              <w:t xml:space="preserve">identity and purity </w:t>
            </w:r>
            <w:r w:rsidRPr="00F86EEB">
              <w:rPr>
                <w:rFonts w:cs="Arial"/>
                <w:sz w:val="20"/>
                <w:lang w:val="en-AU"/>
              </w:rPr>
              <w:t xml:space="preserve">specifications were </w:t>
            </w:r>
            <w:r w:rsidR="00B47B24" w:rsidRPr="00F86EEB">
              <w:rPr>
                <w:rFonts w:cs="Arial"/>
                <w:sz w:val="20"/>
                <w:lang w:val="en-AU"/>
              </w:rPr>
              <w:t>c</w:t>
            </w:r>
            <w:r w:rsidRPr="00F86EEB">
              <w:rPr>
                <w:rFonts w:cs="Arial"/>
                <w:sz w:val="20"/>
                <w:lang w:val="en-AU"/>
              </w:rPr>
              <w:t>onsidered</w:t>
            </w:r>
            <w:r w:rsidR="00B47B24" w:rsidRPr="00F86EEB">
              <w:rPr>
                <w:rFonts w:cs="Arial"/>
                <w:sz w:val="20"/>
                <w:lang w:val="en-AU"/>
              </w:rPr>
              <w:t xml:space="preserve"> and will be set for the new oil derived from the new production strain of </w:t>
            </w:r>
            <w:r w:rsidR="00B47B24" w:rsidRPr="00F86EEB">
              <w:rPr>
                <w:rFonts w:eastAsia="Calibri"/>
                <w:i/>
                <w:sz w:val="20"/>
                <w:lang w:val="en-AU" w:bidi="ar-SA"/>
              </w:rPr>
              <w:t>Schizochytrium</w:t>
            </w:r>
            <w:r w:rsidR="00B47B24" w:rsidRPr="00F86EEB">
              <w:rPr>
                <w:rFonts w:eastAsia="Calibri"/>
                <w:sz w:val="20"/>
                <w:lang w:val="en-AU" w:bidi="ar-SA"/>
              </w:rPr>
              <w:t xml:space="preserve"> </w:t>
            </w:r>
            <w:r w:rsidR="00932F72" w:rsidRPr="00F86EEB">
              <w:rPr>
                <w:rFonts w:eastAsia="Calibri"/>
                <w:sz w:val="20"/>
                <w:lang w:val="en-AU" w:bidi="ar-SA"/>
              </w:rPr>
              <w:t>sp.</w:t>
            </w:r>
            <w:r w:rsidR="00B47B24" w:rsidRPr="00F86EEB">
              <w:rPr>
                <w:rFonts w:eastAsia="Calibri"/>
                <w:sz w:val="20"/>
                <w:lang w:val="en-AU" w:bidi="ar-SA"/>
              </w:rPr>
              <w:t xml:space="preserve"> (ATCC PTA-9695).</w:t>
            </w:r>
          </w:p>
        </w:tc>
        <w:tc>
          <w:tcPr>
            <w:tcW w:w="2584" w:type="dxa"/>
          </w:tcPr>
          <w:p w14:paraId="01BD1665" w14:textId="77777777" w:rsidR="00D03DF2" w:rsidRPr="00F86EEB" w:rsidRDefault="00D03DF2" w:rsidP="00A37535">
            <w:pPr>
              <w:spacing w:before="120" w:after="120"/>
              <w:rPr>
                <w:rFonts w:cs="Arial"/>
                <w:sz w:val="20"/>
                <w:lang w:val="en-AU"/>
              </w:rPr>
            </w:pPr>
            <w:r w:rsidRPr="00F86EEB">
              <w:rPr>
                <w:rFonts w:cs="Arial"/>
                <w:sz w:val="20"/>
                <w:lang w:val="en-AU"/>
              </w:rPr>
              <w:t>Yes</w:t>
            </w:r>
          </w:p>
        </w:tc>
      </w:tr>
      <w:tr w:rsidR="00D03DF2" w:rsidRPr="00932F72" w14:paraId="1EEB456D" w14:textId="77777777" w:rsidTr="00FC190F">
        <w:tc>
          <w:tcPr>
            <w:tcW w:w="14174" w:type="dxa"/>
            <w:gridSpan w:val="3"/>
          </w:tcPr>
          <w:p w14:paraId="7765FEC2" w14:textId="77777777" w:rsidR="00D03DF2" w:rsidRPr="00F86EEB" w:rsidRDefault="00D03DF2" w:rsidP="00A37535">
            <w:pPr>
              <w:spacing w:before="120" w:after="120"/>
              <w:rPr>
                <w:rFonts w:cs="Arial"/>
                <w:b/>
                <w:sz w:val="20"/>
                <w:lang w:val="en-AU"/>
              </w:rPr>
            </w:pPr>
            <w:r w:rsidRPr="00F86EEB">
              <w:rPr>
                <w:rFonts w:cs="Arial"/>
                <w:b/>
                <w:i/>
                <w:sz w:val="20"/>
                <w:lang w:val="en-AU"/>
              </w:rPr>
              <w:t>Composition</w:t>
            </w:r>
          </w:p>
        </w:tc>
      </w:tr>
      <w:tr w:rsidR="00D03DF2" w:rsidRPr="00932F72" w14:paraId="253959E0" w14:textId="77777777" w:rsidTr="00FC190F">
        <w:tc>
          <w:tcPr>
            <w:tcW w:w="5795" w:type="dxa"/>
          </w:tcPr>
          <w:p w14:paraId="42D31E45" w14:textId="77777777" w:rsidR="00D03DF2" w:rsidRPr="00F86EEB" w:rsidRDefault="00D03DF2" w:rsidP="00A37535">
            <w:pPr>
              <w:spacing w:before="120" w:after="120"/>
              <w:rPr>
                <w:rFonts w:cs="Arial"/>
                <w:sz w:val="20"/>
                <w:lang w:val="en-AU"/>
              </w:rPr>
            </w:pPr>
            <w:r w:rsidRPr="00F86EEB">
              <w:rPr>
                <w:rFonts w:cs="Arial"/>
                <w:sz w:val="20"/>
                <w:lang w:val="en-AU"/>
              </w:rPr>
              <w:t>(d) The composition of infant formula must be safe, suitable for the intended use and must strive to achieve as closely as possible the normal growth and development (as measured by appropriate physiological, biochemical and/or functional outcomes) of healthy full term exclusively breastfed infants when infant formula used as the sole source of nutrition up to six months of age.</w:t>
            </w:r>
          </w:p>
        </w:tc>
        <w:tc>
          <w:tcPr>
            <w:tcW w:w="5795" w:type="dxa"/>
          </w:tcPr>
          <w:p w14:paraId="1A6836AC" w14:textId="60BEABE7" w:rsidR="00D03DF2" w:rsidRPr="00F86EEB" w:rsidRDefault="00D03DF2" w:rsidP="00F86EEB">
            <w:pPr>
              <w:spacing w:before="120" w:after="120"/>
              <w:rPr>
                <w:rFonts w:cs="Arial"/>
                <w:sz w:val="20"/>
                <w:lang w:val="en-AU"/>
              </w:rPr>
            </w:pPr>
            <w:r w:rsidRPr="00F86EEB">
              <w:rPr>
                <w:rFonts w:cs="Arial"/>
                <w:sz w:val="20"/>
                <w:lang w:val="en-AU"/>
              </w:rPr>
              <w:t xml:space="preserve">The </w:t>
            </w:r>
            <w:r w:rsidR="007920B0" w:rsidRPr="00F86EEB">
              <w:rPr>
                <w:rFonts w:cs="Arial"/>
                <w:sz w:val="20"/>
                <w:lang w:val="en-AU"/>
              </w:rPr>
              <w:t xml:space="preserve">Risk </w:t>
            </w:r>
            <w:r w:rsidRPr="00F86EEB">
              <w:rPr>
                <w:rFonts w:cs="Arial"/>
                <w:sz w:val="20"/>
                <w:lang w:val="en-AU"/>
              </w:rPr>
              <w:t xml:space="preserve">and </w:t>
            </w:r>
            <w:r w:rsidR="007920B0" w:rsidRPr="00F86EEB">
              <w:rPr>
                <w:rFonts w:cs="Arial"/>
                <w:sz w:val="20"/>
                <w:lang w:val="en-AU"/>
              </w:rPr>
              <w:t xml:space="preserve">Technical </w:t>
            </w:r>
            <w:r w:rsidRPr="00F86EEB">
              <w:rPr>
                <w:rFonts w:cs="Arial"/>
                <w:sz w:val="20"/>
                <w:lang w:val="en-AU"/>
              </w:rPr>
              <w:t xml:space="preserve">assessment concluded that </w:t>
            </w:r>
            <w:r w:rsidR="00B47B24" w:rsidRPr="00F86EEB">
              <w:rPr>
                <w:rFonts w:cs="Arial"/>
                <w:sz w:val="20"/>
                <w:lang w:val="en-AU"/>
              </w:rPr>
              <w:t xml:space="preserve">DHA-rich oil derived from </w:t>
            </w:r>
            <w:r w:rsidR="00B47B24" w:rsidRPr="00F86EEB">
              <w:rPr>
                <w:rFonts w:cs="Arial"/>
                <w:i/>
                <w:sz w:val="20"/>
                <w:lang w:val="en-AU"/>
              </w:rPr>
              <w:t>Schizochytrium</w:t>
            </w:r>
            <w:r w:rsidR="00B47B24" w:rsidRPr="00F86EEB">
              <w:rPr>
                <w:rFonts w:cs="Arial"/>
                <w:sz w:val="20"/>
                <w:lang w:val="en-AU"/>
              </w:rPr>
              <w:t xml:space="preserve"> </w:t>
            </w:r>
            <w:r w:rsidR="00932F72" w:rsidRPr="00F86EEB">
              <w:rPr>
                <w:rFonts w:cs="Arial"/>
                <w:sz w:val="20"/>
                <w:lang w:val="en-AU"/>
              </w:rPr>
              <w:t>sp.</w:t>
            </w:r>
            <w:r w:rsidR="00B47B24" w:rsidRPr="00F86EEB">
              <w:rPr>
                <w:rFonts w:cs="Arial"/>
                <w:sz w:val="20"/>
                <w:lang w:val="en-AU"/>
              </w:rPr>
              <w:t xml:space="preserve"> (ATCC PTA-9695) </w:t>
            </w:r>
            <w:r w:rsidRPr="00F86EEB">
              <w:rPr>
                <w:rFonts w:cs="Arial"/>
                <w:sz w:val="20"/>
                <w:lang w:val="en-AU"/>
              </w:rPr>
              <w:t xml:space="preserve">is </w:t>
            </w:r>
            <w:r w:rsidR="00B47B24" w:rsidRPr="00F86EEB">
              <w:rPr>
                <w:rFonts w:cs="Arial"/>
                <w:sz w:val="20"/>
                <w:lang w:val="en-AU"/>
              </w:rPr>
              <w:t xml:space="preserve">a </w:t>
            </w:r>
            <w:r w:rsidRPr="00F86EEB">
              <w:rPr>
                <w:rFonts w:cs="Arial"/>
                <w:sz w:val="20"/>
                <w:lang w:val="en-AU"/>
              </w:rPr>
              <w:t>safe a</w:t>
            </w:r>
            <w:r w:rsidR="00B47B24" w:rsidRPr="00F86EEB">
              <w:rPr>
                <w:rFonts w:cs="Arial"/>
                <w:sz w:val="20"/>
                <w:lang w:val="en-AU"/>
              </w:rPr>
              <w:t xml:space="preserve">nd suitable alternative oil source of DHA for use in infant formula products. </w:t>
            </w:r>
          </w:p>
        </w:tc>
        <w:tc>
          <w:tcPr>
            <w:tcW w:w="2584" w:type="dxa"/>
          </w:tcPr>
          <w:p w14:paraId="2B062154" w14:textId="77777777" w:rsidR="00D03DF2" w:rsidRPr="00F86EEB" w:rsidRDefault="00D03DF2" w:rsidP="00A37535">
            <w:pPr>
              <w:spacing w:before="120" w:after="120"/>
              <w:rPr>
                <w:rFonts w:cs="Arial"/>
                <w:sz w:val="20"/>
                <w:lang w:val="en-AU"/>
              </w:rPr>
            </w:pPr>
            <w:r w:rsidRPr="00F86EEB">
              <w:rPr>
                <w:rFonts w:cs="Arial"/>
                <w:sz w:val="20"/>
                <w:lang w:val="en-AU"/>
              </w:rPr>
              <w:t>Yes</w:t>
            </w:r>
          </w:p>
        </w:tc>
      </w:tr>
      <w:tr w:rsidR="00D03DF2" w:rsidRPr="00932F72" w14:paraId="44BB770D" w14:textId="77777777" w:rsidTr="00F86EEB">
        <w:trPr>
          <w:cantSplit/>
        </w:trPr>
        <w:tc>
          <w:tcPr>
            <w:tcW w:w="5795" w:type="dxa"/>
          </w:tcPr>
          <w:p w14:paraId="2439AF5B" w14:textId="77777777" w:rsidR="00D03DF2" w:rsidRPr="00F86EEB" w:rsidRDefault="00D03DF2" w:rsidP="00A37535">
            <w:pPr>
              <w:spacing w:before="120" w:after="120"/>
              <w:rPr>
                <w:rFonts w:cs="Arial"/>
                <w:sz w:val="20"/>
                <w:lang w:val="en-AU"/>
              </w:rPr>
            </w:pPr>
            <w:r w:rsidRPr="00F86EEB">
              <w:rPr>
                <w:rFonts w:cs="Arial"/>
                <w:sz w:val="20"/>
                <w:lang w:val="en-AU"/>
              </w:rPr>
              <w:lastRenderedPageBreak/>
              <w:t>(e) 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p>
        </w:tc>
        <w:tc>
          <w:tcPr>
            <w:tcW w:w="5795" w:type="dxa"/>
          </w:tcPr>
          <w:p w14:paraId="54090CC0" w14:textId="77777777" w:rsidR="00D03DF2" w:rsidRPr="00F86EEB" w:rsidRDefault="00D03DF2" w:rsidP="00A37535">
            <w:pPr>
              <w:spacing w:before="120" w:after="120"/>
              <w:rPr>
                <w:rFonts w:cs="Arial"/>
                <w:sz w:val="20"/>
                <w:lang w:val="en-AU"/>
              </w:rPr>
            </w:pPr>
            <w:r w:rsidRPr="00F86EEB">
              <w:rPr>
                <w:rFonts w:cs="Arial"/>
                <w:sz w:val="20"/>
                <w:lang w:val="en-AU"/>
              </w:rPr>
              <w:t>See comments for specific policy principle (d).</w:t>
            </w:r>
          </w:p>
        </w:tc>
        <w:tc>
          <w:tcPr>
            <w:tcW w:w="2584" w:type="dxa"/>
          </w:tcPr>
          <w:p w14:paraId="7A3B01A8" w14:textId="77777777" w:rsidR="00D03DF2" w:rsidRPr="00F86EEB" w:rsidRDefault="00D03DF2" w:rsidP="00A37535">
            <w:pPr>
              <w:spacing w:before="120" w:after="120"/>
              <w:rPr>
                <w:rFonts w:cs="Arial"/>
                <w:sz w:val="20"/>
                <w:lang w:val="en-AU"/>
              </w:rPr>
            </w:pPr>
            <w:r w:rsidRPr="00F86EEB">
              <w:rPr>
                <w:rFonts w:cs="Arial"/>
                <w:sz w:val="20"/>
                <w:lang w:val="en-AU"/>
              </w:rPr>
              <w:t>Yes</w:t>
            </w:r>
          </w:p>
        </w:tc>
      </w:tr>
      <w:tr w:rsidR="00D03DF2" w:rsidRPr="00932F72" w14:paraId="1A033F6D" w14:textId="77777777" w:rsidTr="00FC190F">
        <w:tc>
          <w:tcPr>
            <w:tcW w:w="5795" w:type="dxa"/>
          </w:tcPr>
          <w:p w14:paraId="66D312A6" w14:textId="77777777" w:rsidR="00D03DF2" w:rsidRPr="00F86EEB" w:rsidRDefault="00D03DF2" w:rsidP="00A37535">
            <w:pPr>
              <w:spacing w:before="120" w:after="120"/>
              <w:rPr>
                <w:rFonts w:cs="Arial"/>
                <w:sz w:val="20"/>
                <w:lang w:val="en-AU"/>
              </w:rPr>
            </w:pPr>
            <w:r w:rsidRPr="00F86EEB">
              <w:rPr>
                <w:rFonts w:cs="Arial"/>
                <w:sz w:val="20"/>
                <w:lang w:val="en-AU"/>
              </w:rPr>
              <w:t>(f) The essential composition of infant formula and follow on formula should be prescribed in regulation and must satisfy the nutritional requirements of infants.</w:t>
            </w:r>
          </w:p>
        </w:tc>
        <w:tc>
          <w:tcPr>
            <w:tcW w:w="5795" w:type="dxa"/>
          </w:tcPr>
          <w:p w14:paraId="4A7F5DD8" w14:textId="0D5BEBE6" w:rsidR="00D03DF2" w:rsidRPr="00F86EEB" w:rsidRDefault="0036199A" w:rsidP="00A37535">
            <w:pPr>
              <w:spacing w:before="120" w:after="120"/>
              <w:rPr>
                <w:rFonts w:cs="Arial"/>
                <w:sz w:val="20"/>
                <w:lang w:val="en-AU"/>
              </w:rPr>
            </w:pPr>
            <w:r w:rsidRPr="00F86EEB">
              <w:rPr>
                <w:sz w:val="20"/>
                <w:lang w:val="en-AU"/>
              </w:rPr>
              <w:t>Not applicable to this Application, as the permission is for optional addition of DHA-rich algal oil to infant formula products.</w:t>
            </w:r>
          </w:p>
        </w:tc>
        <w:tc>
          <w:tcPr>
            <w:tcW w:w="2584" w:type="dxa"/>
          </w:tcPr>
          <w:p w14:paraId="134004C2" w14:textId="380F019D" w:rsidR="00D03DF2" w:rsidRPr="00F86EEB" w:rsidRDefault="007920B0" w:rsidP="00A37535">
            <w:pPr>
              <w:spacing w:before="120" w:after="120"/>
              <w:rPr>
                <w:rFonts w:cs="Arial"/>
                <w:sz w:val="20"/>
                <w:lang w:val="en-AU"/>
              </w:rPr>
            </w:pPr>
            <w:r w:rsidRPr="00F86EEB">
              <w:rPr>
                <w:rFonts w:cs="Arial"/>
                <w:sz w:val="20"/>
                <w:lang w:val="en-AU"/>
              </w:rPr>
              <w:t>Not applicable</w:t>
            </w:r>
          </w:p>
        </w:tc>
      </w:tr>
      <w:tr w:rsidR="0036199A" w:rsidRPr="00932F72" w14:paraId="25A534D7" w14:textId="77777777" w:rsidTr="00FC190F">
        <w:trPr>
          <w:cantSplit/>
        </w:trPr>
        <w:tc>
          <w:tcPr>
            <w:tcW w:w="5795" w:type="dxa"/>
          </w:tcPr>
          <w:p w14:paraId="09A4EDE0" w14:textId="77777777" w:rsidR="0036199A" w:rsidRPr="00F86EEB" w:rsidRDefault="0036199A" w:rsidP="00A37535">
            <w:pPr>
              <w:spacing w:before="120" w:after="120"/>
              <w:rPr>
                <w:rFonts w:cs="Arial"/>
                <w:sz w:val="20"/>
                <w:lang w:val="en-AU"/>
              </w:rPr>
            </w:pPr>
            <w:r w:rsidRPr="00F86EEB">
              <w:rPr>
                <w:rFonts w:cs="Arial"/>
                <w:sz w:val="20"/>
                <w:lang w:val="en-AU"/>
              </w:rPr>
              <w:t>(g) Compositional requirements for infant formula and follow-on formula products should only be mandated in regulation where there is sufficient evidence to demonstrate that they are safe and essential for normal growth and development of infants.</w:t>
            </w:r>
          </w:p>
        </w:tc>
        <w:tc>
          <w:tcPr>
            <w:tcW w:w="5795" w:type="dxa"/>
          </w:tcPr>
          <w:p w14:paraId="17466379" w14:textId="110CCE91" w:rsidR="0036199A" w:rsidRPr="00F86EEB" w:rsidRDefault="0036199A" w:rsidP="0036199A">
            <w:pPr>
              <w:spacing w:before="120" w:after="120"/>
              <w:rPr>
                <w:rFonts w:cs="Arial"/>
                <w:b/>
                <w:sz w:val="20"/>
                <w:lang w:val="en-AU"/>
              </w:rPr>
            </w:pPr>
            <w:r w:rsidRPr="00F86EEB">
              <w:rPr>
                <w:sz w:val="20"/>
                <w:lang w:val="en-AU"/>
              </w:rPr>
              <w:t>Not applicable to this Application, as the permission is for optional addition of DHA-rich algal oil to infant formula products.</w:t>
            </w:r>
          </w:p>
        </w:tc>
        <w:tc>
          <w:tcPr>
            <w:tcW w:w="2584" w:type="dxa"/>
          </w:tcPr>
          <w:p w14:paraId="0262DC2C" w14:textId="4A553ACB" w:rsidR="0036199A" w:rsidRPr="00F86EEB" w:rsidRDefault="007920B0" w:rsidP="00A37535">
            <w:pPr>
              <w:spacing w:before="120" w:after="120"/>
              <w:rPr>
                <w:rFonts w:cs="Arial"/>
                <w:sz w:val="20"/>
                <w:lang w:val="en-AU"/>
              </w:rPr>
            </w:pPr>
            <w:r w:rsidRPr="00F86EEB">
              <w:rPr>
                <w:rFonts w:cs="Arial"/>
                <w:sz w:val="20"/>
                <w:lang w:val="en-AU"/>
              </w:rPr>
              <w:t>Not applicable</w:t>
            </w:r>
          </w:p>
        </w:tc>
      </w:tr>
      <w:tr w:rsidR="0036199A" w:rsidRPr="00932F72" w14:paraId="65BA9A8D" w14:textId="77777777" w:rsidTr="00FC190F">
        <w:tc>
          <w:tcPr>
            <w:tcW w:w="5795" w:type="dxa"/>
          </w:tcPr>
          <w:p w14:paraId="4DE8E011" w14:textId="77777777" w:rsidR="0036199A" w:rsidRPr="00F86EEB" w:rsidRDefault="0036199A" w:rsidP="00A37535">
            <w:pPr>
              <w:spacing w:before="120" w:after="120"/>
              <w:rPr>
                <w:rFonts w:cs="Arial"/>
                <w:sz w:val="20"/>
                <w:lang w:val="en-AU"/>
              </w:rPr>
            </w:pPr>
            <w:r w:rsidRPr="00F86EEB">
              <w:rPr>
                <w:rFonts w:cs="Arial"/>
                <w:sz w:val="20"/>
                <w:lang w:val="en-AU"/>
              </w:rPr>
              <w:t>(h) The composition of breast milk should be used as a primary reference for determining the composition of infant formula and follow-on formula.</w:t>
            </w:r>
          </w:p>
        </w:tc>
        <w:tc>
          <w:tcPr>
            <w:tcW w:w="5795" w:type="dxa"/>
          </w:tcPr>
          <w:p w14:paraId="79E8D359" w14:textId="42BD4C7F" w:rsidR="00047B19" w:rsidRPr="00F86EEB" w:rsidRDefault="00B8526B" w:rsidP="007920B0">
            <w:pPr>
              <w:spacing w:before="120" w:after="120"/>
              <w:rPr>
                <w:rFonts w:cs="Arial"/>
                <w:sz w:val="20"/>
                <w:lang w:val="en-AU"/>
              </w:rPr>
            </w:pPr>
            <w:r w:rsidRPr="00F86EEB">
              <w:rPr>
                <w:sz w:val="20"/>
                <w:lang w:val="en-AU" w:bidi="ar-SA"/>
              </w:rPr>
              <w:t xml:space="preserve">DHA and other LC-PUFA are normal components of breast milk. </w:t>
            </w:r>
            <w:r w:rsidR="0036199A" w:rsidRPr="00F86EEB">
              <w:rPr>
                <w:rFonts w:cs="Arial"/>
                <w:sz w:val="20"/>
                <w:lang w:val="en-AU"/>
              </w:rPr>
              <w:t xml:space="preserve">The Risk and </w:t>
            </w:r>
            <w:r w:rsidRPr="00F86EEB">
              <w:rPr>
                <w:rFonts w:cs="Arial"/>
                <w:sz w:val="20"/>
                <w:lang w:val="en-AU"/>
              </w:rPr>
              <w:t>T</w:t>
            </w:r>
            <w:r w:rsidR="0036199A" w:rsidRPr="00F86EEB">
              <w:rPr>
                <w:rFonts w:cs="Arial"/>
                <w:sz w:val="20"/>
                <w:lang w:val="en-AU"/>
              </w:rPr>
              <w:t xml:space="preserve">echnical assessment found that </w:t>
            </w:r>
            <w:r w:rsidR="00047B19" w:rsidRPr="00F86EEB">
              <w:rPr>
                <w:rFonts w:cs="Arial"/>
                <w:sz w:val="20"/>
                <w:lang w:val="en-AU"/>
              </w:rPr>
              <w:t>t</w:t>
            </w:r>
            <w:r w:rsidR="00047B19" w:rsidRPr="00F86EEB">
              <w:rPr>
                <w:sz w:val="20"/>
                <w:lang w:val="en-AU"/>
              </w:rPr>
              <w:t xml:space="preserve">he </w:t>
            </w:r>
            <w:r w:rsidR="00047B19" w:rsidRPr="00F86EEB">
              <w:rPr>
                <w:rFonts w:eastAsia="Arial Unicode MS"/>
                <w:sz w:val="20"/>
                <w:szCs w:val="22"/>
                <w:lang w:val="en-AU" w:bidi="ar-SA"/>
              </w:rPr>
              <w:t>reported</w:t>
            </w:r>
            <w:r w:rsidR="00047B19" w:rsidRPr="00F86EEB">
              <w:rPr>
                <w:sz w:val="20"/>
                <w:lang w:val="en-AU"/>
              </w:rPr>
              <w:t xml:space="preserve"> average quantity of DHA in breast milk </w:t>
            </w:r>
            <w:r w:rsidR="00047B19" w:rsidRPr="00F86EEB">
              <w:rPr>
                <w:rFonts w:eastAsia="Arial Unicode MS"/>
                <w:sz w:val="20"/>
                <w:szCs w:val="22"/>
                <w:lang w:val="en-AU" w:bidi="ar-SA"/>
              </w:rPr>
              <w:t>of Australian mothers consuming typical (not supplemented) diets ranges from 0.14 to 0.28% of total fatty acids. W</w:t>
            </w:r>
            <w:r w:rsidRPr="00F86EEB">
              <w:rPr>
                <w:sz w:val="20"/>
                <w:lang w:val="en-AU"/>
              </w:rPr>
              <w:t xml:space="preserve">orldwide </w:t>
            </w:r>
            <w:r w:rsidR="00047B19" w:rsidRPr="00F86EEB">
              <w:rPr>
                <w:sz w:val="20"/>
                <w:lang w:val="en-AU"/>
              </w:rPr>
              <w:t xml:space="preserve">average </w:t>
            </w:r>
            <w:r w:rsidRPr="00F86EEB">
              <w:rPr>
                <w:sz w:val="20"/>
                <w:lang w:val="en-AU"/>
              </w:rPr>
              <w:t xml:space="preserve">DHA concentration in breast milk </w:t>
            </w:r>
            <w:r w:rsidR="00047B19" w:rsidRPr="00F86EEB">
              <w:rPr>
                <w:sz w:val="20"/>
                <w:lang w:val="en-AU"/>
              </w:rPr>
              <w:t xml:space="preserve">is </w:t>
            </w:r>
            <w:r w:rsidRPr="00F86EEB">
              <w:rPr>
                <w:sz w:val="20"/>
                <w:lang w:val="en-AU"/>
              </w:rPr>
              <w:t xml:space="preserve">approximately 0.34% of total fatty acids. </w:t>
            </w:r>
          </w:p>
        </w:tc>
        <w:tc>
          <w:tcPr>
            <w:tcW w:w="2584" w:type="dxa"/>
          </w:tcPr>
          <w:p w14:paraId="7401021A" w14:textId="77777777" w:rsidR="0036199A" w:rsidRPr="00F86EEB" w:rsidRDefault="0036199A" w:rsidP="00A37535">
            <w:pPr>
              <w:spacing w:before="120" w:after="120"/>
              <w:rPr>
                <w:rFonts w:cs="Arial"/>
                <w:sz w:val="20"/>
                <w:lang w:val="en-AU"/>
              </w:rPr>
            </w:pPr>
            <w:r w:rsidRPr="00F86EEB">
              <w:rPr>
                <w:rFonts w:cs="Arial"/>
                <w:sz w:val="20"/>
                <w:lang w:val="en-AU"/>
              </w:rPr>
              <w:t>Yes</w:t>
            </w:r>
          </w:p>
        </w:tc>
      </w:tr>
      <w:tr w:rsidR="0036199A" w:rsidRPr="00932F72" w14:paraId="3D6E5168" w14:textId="77777777" w:rsidTr="00932F72">
        <w:trPr>
          <w:cantSplit/>
        </w:trPr>
        <w:tc>
          <w:tcPr>
            <w:tcW w:w="5795" w:type="dxa"/>
          </w:tcPr>
          <w:p w14:paraId="42C7FDD9" w14:textId="77777777" w:rsidR="0036199A" w:rsidRPr="00F86EEB" w:rsidRDefault="0036199A" w:rsidP="00A37535">
            <w:pPr>
              <w:spacing w:before="120" w:after="120"/>
              <w:rPr>
                <w:rFonts w:cs="Arial"/>
                <w:sz w:val="20"/>
                <w:lang w:val="en-AU"/>
              </w:rPr>
            </w:pPr>
            <w:r w:rsidRPr="00F86EEB">
              <w:rPr>
                <w:rFonts w:cs="Arial"/>
                <w:sz w:val="20"/>
                <w:lang w:val="en-AU"/>
              </w:rPr>
              <w:lastRenderedPageBreak/>
              <w:t>(</w:t>
            </w:r>
            <w:proofErr w:type="spellStart"/>
            <w:r w:rsidRPr="00F86EEB">
              <w:rPr>
                <w:rFonts w:cs="Arial"/>
                <w:sz w:val="20"/>
                <w:lang w:val="en-AU"/>
              </w:rPr>
              <w:t>i</w:t>
            </w:r>
            <w:proofErr w:type="spellEnd"/>
            <w:r w:rsidRPr="00F86EEB">
              <w:rPr>
                <w:rFonts w:cs="Arial"/>
                <w:sz w:val="20"/>
                <w:lang w:val="en-AU"/>
              </w:rPr>
              <w:t>) Pre-market assessment, relative to principles (d) and (e), should be required for any substance proposed to be used in infant formula and follow-on formula that:</w:t>
            </w:r>
          </w:p>
          <w:p w14:paraId="0D623385" w14:textId="77777777" w:rsidR="0036199A" w:rsidRPr="00F86EEB" w:rsidRDefault="0036199A" w:rsidP="00A37535">
            <w:pPr>
              <w:spacing w:before="120" w:after="120"/>
              <w:ind w:left="284"/>
              <w:rPr>
                <w:rFonts w:cs="Arial"/>
                <w:sz w:val="20"/>
                <w:lang w:val="en-AU"/>
              </w:rPr>
            </w:pPr>
            <w:proofErr w:type="spellStart"/>
            <w:r w:rsidRPr="00F86EEB">
              <w:rPr>
                <w:rFonts w:cs="Arial"/>
                <w:sz w:val="20"/>
                <w:lang w:val="en-AU"/>
              </w:rPr>
              <w:t>i</w:t>
            </w:r>
            <w:proofErr w:type="spellEnd"/>
            <w:r w:rsidRPr="00F86EEB">
              <w:rPr>
                <w:rFonts w:cs="Arial"/>
                <w:sz w:val="20"/>
                <w:lang w:val="en-AU"/>
              </w:rPr>
              <w:t>. does not have a history of safe use at the proposed level in these products in Australia and New Zealand; or</w:t>
            </w:r>
          </w:p>
          <w:p w14:paraId="0B5F25F3" w14:textId="77777777" w:rsidR="0036199A" w:rsidRPr="00F86EEB" w:rsidRDefault="0036199A" w:rsidP="00A37535">
            <w:pPr>
              <w:spacing w:before="120" w:after="120"/>
              <w:ind w:left="284"/>
              <w:rPr>
                <w:rFonts w:cs="Arial"/>
                <w:sz w:val="20"/>
                <w:lang w:val="en-AU"/>
              </w:rPr>
            </w:pPr>
            <w:r w:rsidRPr="00F86EEB">
              <w:rPr>
                <w:rFonts w:cs="Arial"/>
                <w:sz w:val="20"/>
                <w:lang w:val="en-AU"/>
              </w:rPr>
              <w:t xml:space="preserve">ii. </w:t>
            </w:r>
            <w:proofErr w:type="gramStart"/>
            <w:r w:rsidRPr="00F86EEB">
              <w:rPr>
                <w:rFonts w:cs="Arial"/>
                <w:sz w:val="20"/>
                <w:lang w:val="en-AU"/>
              </w:rPr>
              <w:t>has</w:t>
            </w:r>
            <w:proofErr w:type="gramEnd"/>
            <w:r w:rsidRPr="00F86EEB">
              <w:rPr>
                <w:rFonts w:cs="Arial"/>
                <w:sz w:val="20"/>
                <w:lang w:val="en-AU"/>
              </w:rPr>
              <w:t xml:space="preserve"> a history of safe use in these products in Australia and New Zealand, but which, having regard to source, has a different form/structure, or is produced using a substantially different technique or technology.</w:t>
            </w:r>
          </w:p>
        </w:tc>
        <w:tc>
          <w:tcPr>
            <w:tcW w:w="5795" w:type="dxa"/>
          </w:tcPr>
          <w:p w14:paraId="0CAABB6B" w14:textId="2D2AE255" w:rsidR="0036199A" w:rsidRPr="00F86EEB" w:rsidRDefault="0036199A" w:rsidP="00531B96">
            <w:pPr>
              <w:spacing w:before="120" w:after="120"/>
              <w:rPr>
                <w:rFonts w:cs="Arial"/>
                <w:sz w:val="20"/>
                <w:lang w:val="en-AU"/>
              </w:rPr>
            </w:pPr>
            <w:r w:rsidRPr="00F86EEB">
              <w:rPr>
                <w:rFonts w:cs="Arial"/>
                <w:sz w:val="20"/>
                <w:lang w:val="en-AU"/>
              </w:rPr>
              <w:t xml:space="preserve">DHA-rich </w:t>
            </w:r>
            <w:r w:rsidR="007A0471" w:rsidRPr="00F86EEB">
              <w:rPr>
                <w:rFonts w:cs="Arial"/>
                <w:sz w:val="20"/>
                <w:lang w:val="en-AU"/>
              </w:rPr>
              <w:t>a</w:t>
            </w:r>
            <w:r w:rsidRPr="00F86EEB">
              <w:rPr>
                <w:rFonts w:cs="Arial"/>
                <w:sz w:val="20"/>
                <w:lang w:val="en-AU"/>
              </w:rPr>
              <w:t xml:space="preserve">lgal oil from </w:t>
            </w:r>
            <w:r w:rsidRPr="00F86EEB">
              <w:rPr>
                <w:rFonts w:cs="Arial"/>
                <w:i/>
                <w:sz w:val="20"/>
                <w:lang w:val="en-AU"/>
              </w:rPr>
              <w:t>Schizochytrium</w:t>
            </w:r>
            <w:r w:rsidRPr="00F86EEB">
              <w:rPr>
                <w:rFonts w:cs="Arial"/>
                <w:sz w:val="20"/>
                <w:lang w:val="en-AU"/>
              </w:rPr>
              <w:t xml:space="preserve"> </w:t>
            </w:r>
            <w:r w:rsidR="00932F72" w:rsidRPr="00F86EEB">
              <w:rPr>
                <w:rFonts w:cs="Arial"/>
                <w:sz w:val="20"/>
                <w:lang w:val="en-AU"/>
              </w:rPr>
              <w:t>sp.</w:t>
            </w:r>
            <w:r w:rsidRPr="00F86EEB">
              <w:rPr>
                <w:rFonts w:cs="Arial"/>
                <w:sz w:val="20"/>
                <w:lang w:val="en-AU"/>
              </w:rPr>
              <w:t xml:space="preserve"> (ATCC PTA-9695) is simil</w:t>
            </w:r>
            <w:r w:rsidR="007A0471" w:rsidRPr="00F86EEB">
              <w:rPr>
                <w:rFonts w:cs="Arial"/>
                <w:sz w:val="20"/>
                <w:lang w:val="en-AU"/>
              </w:rPr>
              <w:t xml:space="preserve">ar to other marine micro-algal </w:t>
            </w:r>
            <w:r w:rsidRPr="00F86EEB">
              <w:rPr>
                <w:rFonts w:cs="Arial"/>
                <w:sz w:val="20"/>
                <w:lang w:val="en-AU"/>
              </w:rPr>
              <w:t xml:space="preserve">oils which have a history of safe use in infant formula products in Australia and New Zealand, but is derived from a new source thus a pre-market assessment was undertaken. </w:t>
            </w:r>
          </w:p>
        </w:tc>
        <w:tc>
          <w:tcPr>
            <w:tcW w:w="2584" w:type="dxa"/>
          </w:tcPr>
          <w:p w14:paraId="0CE4B7DD" w14:textId="2693D7CF" w:rsidR="0036199A" w:rsidRPr="00F86EEB" w:rsidRDefault="0036199A" w:rsidP="00A37535">
            <w:pPr>
              <w:spacing w:before="120" w:after="120"/>
              <w:rPr>
                <w:rFonts w:cs="Arial"/>
                <w:sz w:val="20"/>
                <w:lang w:val="en-AU"/>
              </w:rPr>
            </w:pPr>
            <w:r w:rsidRPr="00F86EEB">
              <w:rPr>
                <w:rFonts w:cs="Arial"/>
                <w:sz w:val="20"/>
                <w:lang w:val="en-AU"/>
              </w:rPr>
              <w:t>Yes</w:t>
            </w:r>
          </w:p>
        </w:tc>
      </w:tr>
      <w:tr w:rsidR="0036199A" w:rsidRPr="00932F72" w14:paraId="75266DBA" w14:textId="77777777" w:rsidTr="00FC190F">
        <w:trPr>
          <w:cantSplit/>
        </w:trPr>
        <w:tc>
          <w:tcPr>
            <w:tcW w:w="5795" w:type="dxa"/>
          </w:tcPr>
          <w:p w14:paraId="4C35DE7E" w14:textId="77777777" w:rsidR="0036199A" w:rsidRPr="00F86EEB" w:rsidRDefault="0036199A" w:rsidP="00A37535">
            <w:pPr>
              <w:spacing w:before="120" w:after="120"/>
              <w:rPr>
                <w:rFonts w:cs="Arial"/>
                <w:sz w:val="20"/>
                <w:lang w:val="en-AU"/>
              </w:rPr>
            </w:pPr>
            <w:r w:rsidRPr="00F86EEB">
              <w:rPr>
                <w:rFonts w:cs="Arial"/>
                <w:sz w:val="20"/>
                <w:lang w:val="en-AU"/>
              </w:rPr>
              <w:t>(j) 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 milk. A substance’s role in normal growth and development is substantiated where there is appropriate evidence to link the physiological, biochemical and/or functional effects of the substance to specific health outcomes for infants, in infancy or childhood. Particular caution should be applied by the Authority where such links are less clear.</w:t>
            </w:r>
          </w:p>
        </w:tc>
        <w:tc>
          <w:tcPr>
            <w:tcW w:w="5795" w:type="dxa"/>
          </w:tcPr>
          <w:p w14:paraId="3468EFA8" w14:textId="3B11BA7E" w:rsidR="0036199A" w:rsidRPr="00F86EEB" w:rsidRDefault="0036199A" w:rsidP="00F86EEB">
            <w:pPr>
              <w:spacing w:before="120" w:after="120"/>
              <w:rPr>
                <w:sz w:val="20"/>
                <w:lang w:val="en-AU"/>
              </w:rPr>
            </w:pPr>
            <w:r w:rsidRPr="00F86EEB">
              <w:rPr>
                <w:sz w:val="20"/>
                <w:lang w:val="en-AU"/>
              </w:rPr>
              <w:t xml:space="preserve">The </w:t>
            </w:r>
            <w:r w:rsidR="007920B0" w:rsidRPr="00F86EEB">
              <w:rPr>
                <w:sz w:val="20"/>
                <w:lang w:val="en-AU"/>
              </w:rPr>
              <w:t xml:space="preserve">Risk </w:t>
            </w:r>
            <w:r w:rsidRPr="00F86EEB">
              <w:rPr>
                <w:sz w:val="20"/>
                <w:lang w:val="en-AU"/>
              </w:rPr>
              <w:t xml:space="preserve">and </w:t>
            </w:r>
            <w:r w:rsidR="007920B0" w:rsidRPr="00F86EEB">
              <w:rPr>
                <w:sz w:val="20"/>
                <w:lang w:val="en-AU"/>
              </w:rPr>
              <w:t xml:space="preserve">Technical </w:t>
            </w:r>
            <w:r w:rsidRPr="00F86EEB">
              <w:rPr>
                <w:sz w:val="20"/>
                <w:lang w:val="en-AU"/>
              </w:rPr>
              <w:t xml:space="preserve">assessment concluded that </w:t>
            </w:r>
            <w:r w:rsidR="00351650" w:rsidRPr="00F86EEB">
              <w:rPr>
                <w:sz w:val="20"/>
                <w:lang w:val="en-AU"/>
              </w:rPr>
              <w:t>t</w:t>
            </w:r>
            <w:r w:rsidR="00351650" w:rsidRPr="00F86EEB">
              <w:rPr>
                <w:rFonts w:cs="Arial"/>
                <w:sz w:val="20"/>
                <w:lang w:val="en-AU"/>
              </w:rPr>
              <w:t>he consumption of infant formula products supplemented with</w:t>
            </w:r>
            <w:r w:rsidR="00531B96">
              <w:rPr>
                <w:rFonts w:cs="Arial"/>
                <w:sz w:val="20"/>
                <w:lang w:val="en-AU"/>
              </w:rPr>
              <w:t xml:space="preserve"> this new form of</w:t>
            </w:r>
            <w:r w:rsidR="00351650" w:rsidRPr="00F86EEB">
              <w:rPr>
                <w:rFonts w:cs="Arial"/>
                <w:sz w:val="20"/>
                <w:lang w:val="en-AU"/>
              </w:rPr>
              <w:t xml:space="preserve"> DHA-rich algal oil </w:t>
            </w:r>
            <w:r w:rsidR="00531B96">
              <w:rPr>
                <w:rFonts w:cs="Arial"/>
                <w:sz w:val="20"/>
                <w:lang w:val="en-AU"/>
              </w:rPr>
              <w:t xml:space="preserve">is equivalent to the other permitted DHA-rich algal oils used in infant formula. </w:t>
            </w:r>
            <w:r w:rsidRPr="00F86EEB">
              <w:rPr>
                <w:sz w:val="20"/>
                <w:lang w:val="en-AU"/>
              </w:rPr>
              <w:t xml:space="preserve">The </w:t>
            </w:r>
            <w:r w:rsidR="009E6D00" w:rsidRPr="00F86EEB">
              <w:rPr>
                <w:rFonts w:eastAsia="Arial Unicode MS"/>
                <w:sz w:val="20"/>
                <w:szCs w:val="22"/>
                <w:lang w:val="en-AU" w:bidi="ar-SA"/>
              </w:rPr>
              <w:t>reported</w:t>
            </w:r>
            <w:r w:rsidR="009E6D00" w:rsidRPr="00F86EEB">
              <w:rPr>
                <w:sz w:val="20"/>
                <w:lang w:val="en-AU"/>
              </w:rPr>
              <w:t xml:space="preserve"> average </w:t>
            </w:r>
            <w:r w:rsidRPr="00F86EEB">
              <w:rPr>
                <w:sz w:val="20"/>
                <w:lang w:val="en-AU"/>
              </w:rPr>
              <w:t xml:space="preserve">quantity of </w:t>
            </w:r>
            <w:r w:rsidR="009E6D00" w:rsidRPr="00F86EEB">
              <w:rPr>
                <w:sz w:val="20"/>
                <w:lang w:val="en-AU"/>
              </w:rPr>
              <w:t xml:space="preserve">DHA in breast milk </w:t>
            </w:r>
            <w:r w:rsidR="009E6D00" w:rsidRPr="00F86EEB">
              <w:rPr>
                <w:rFonts w:eastAsia="Arial Unicode MS"/>
                <w:sz w:val="20"/>
                <w:szCs w:val="22"/>
                <w:lang w:val="en-AU" w:bidi="ar-SA"/>
              </w:rPr>
              <w:t xml:space="preserve">of Australian mothers consuming typical (not supplemented) diets ranges from 0.14 to 0.28% of total fatty acids. </w:t>
            </w:r>
          </w:p>
          <w:p w14:paraId="6A817FFA" w14:textId="6B0D54D2" w:rsidR="0036199A" w:rsidRPr="00F86EEB" w:rsidRDefault="00883910" w:rsidP="00F86EEB">
            <w:pPr>
              <w:spacing w:before="120" w:after="120"/>
              <w:rPr>
                <w:rFonts w:cs="Arial"/>
                <w:sz w:val="20"/>
                <w:lang w:val="en-AU"/>
              </w:rPr>
            </w:pPr>
            <w:r w:rsidRPr="00F86EEB">
              <w:rPr>
                <w:sz w:val="20"/>
                <w:lang w:val="en-AU"/>
              </w:rPr>
              <w:t xml:space="preserve">Bioequivalence studies concluded that </w:t>
            </w:r>
            <w:r w:rsidRPr="00F86EEB">
              <w:rPr>
                <w:sz w:val="20"/>
                <w:lang w:val="en-AU" w:bidi="ar-SA"/>
              </w:rPr>
              <w:t xml:space="preserve">increases in DHA levels of plasma and red blood cells were similar dose-dependent in the piglets fed DHA-B oil compared to those fed a difference DHA-rich algal oil. </w:t>
            </w:r>
          </w:p>
        </w:tc>
        <w:tc>
          <w:tcPr>
            <w:tcW w:w="2584" w:type="dxa"/>
          </w:tcPr>
          <w:p w14:paraId="051797C7" w14:textId="21F91E78" w:rsidR="0036199A" w:rsidRPr="00F86EEB" w:rsidRDefault="008059A0" w:rsidP="00A37535">
            <w:pPr>
              <w:spacing w:before="120" w:after="120"/>
              <w:rPr>
                <w:rFonts w:cs="Arial"/>
                <w:sz w:val="20"/>
                <w:lang w:val="en-AU"/>
              </w:rPr>
            </w:pPr>
            <w:r w:rsidRPr="00F86EEB">
              <w:rPr>
                <w:rFonts w:cs="Arial"/>
                <w:sz w:val="20"/>
                <w:lang w:val="en-AU"/>
              </w:rPr>
              <w:t>Yes</w:t>
            </w:r>
          </w:p>
        </w:tc>
      </w:tr>
      <w:tr w:rsidR="0036199A" w:rsidRPr="00932F72" w14:paraId="37F887B6" w14:textId="77777777" w:rsidTr="00FC190F">
        <w:tc>
          <w:tcPr>
            <w:tcW w:w="14174" w:type="dxa"/>
            <w:gridSpan w:val="3"/>
          </w:tcPr>
          <w:p w14:paraId="5E4C80DD" w14:textId="77777777" w:rsidR="0036199A" w:rsidRPr="00F86EEB" w:rsidRDefault="0036199A" w:rsidP="00A37535">
            <w:pPr>
              <w:keepNext/>
              <w:spacing w:before="120" w:after="120"/>
              <w:rPr>
                <w:rFonts w:cs="Arial"/>
                <w:b/>
                <w:sz w:val="20"/>
                <w:lang w:val="en-AU"/>
              </w:rPr>
            </w:pPr>
            <w:r w:rsidRPr="00F86EEB">
              <w:rPr>
                <w:rFonts w:cs="Arial"/>
                <w:b/>
                <w:i/>
                <w:sz w:val="20"/>
                <w:lang w:val="en-AU"/>
              </w:rPr>
              <w:t>Labelling and advertising</w:t>
            </w:r>
          </w:p>
        </w:tc>
      </w:tr>
      <w:tr w:rsidR="0036199A" w:rsidRPr="00932F72" w14:paraId="4B206809" w14:textId="77777777" w:rsidTr="00932F72">
        <w:trPr>
          <w:cantSplit/>
        </w:trPr>
        <w:tc>
          <w:tcPr>
            <w:tcW w:w="5795" w:type="dxa"/>
          </w:tcPr>
          <w:p w14:paraId="547B1A65" w14:textId="77777777" w:rsidR="0036199A" w:rsidRPr="00F86EEB" w:rsidRDefault="0036199A" w:rsidP="00A37535">
            <w:pPr>
              <w:spacing w:before="120" w:after="120"/>
              <w:rPr>
                <w:rFonts w:cs="Arial"/>
                <w:sz w:val="20"/>
                <w:lang w:val="en-AU"/>
              </w:rPr>
            </w:pPr>
            <w:r w:rsidRPr="00F86EEB">
              <w:rPr>
                <w:rFonts w:cs="Arial"/>
                <w:sz w:val="20"/>
                <w:lang w:val="en-AU"/>
              </w:rPr>
              <w:t>(k) The labelling and advertising of infant formula products should be consistent with the World Health Organization International Code of Marketing of Breast Milk Substitutes as implemented in Australia and New Zealand.</w:t>
            </w:r>
          </w:p>
        </w:tc>
        <w:tc>
          <w:tcPr>
            <w:tcW w:w="5795" w:type="dxa"/>
            <w:vMerge w:val="restart"/>
          </w:tcPr>
          <w:p w14:paraId="3F71072B" w14:textId="7DC81B61" w:rsidR="0036199A" w:rsidRPr="00F86EEB" w:rsidRDefault="0036199A" w:rsidP="008059A0">
            <w:pPr>
              <w:spacing w:before="120" w:after="120"/>
              <w:rPr>
                <w:rFonts w:cs="Arial"/>
                <w:sz w:val="20"/>
                <w:lang w:val="en-AU"/>
              </w:rPr>
            </w:pPr>
            <w:r w:rsidRPr="00F86EEB">
              <w:rPr>
                <w:rFonts w:cs="Arial"/>
                <w:sz w:val="20"/>
                <w:lang w:val="en-AU"/>
              </w:rPr>
              <w:t>Not applicable to this Application.</w:t>
            </w:r>
            <w:r w:rsidR="008059A0" w:rsidRPr="00F86EEB">
              <w:rPr>
                <w:rFonts w:cs="Arial"/>
                <w:sz w:val="20"/>
                <w:lang w:val="en-AU"/>
              </w:rPr>
              <w:t xml:space="preserve"> </w:t>
            </w:r>
            <w:r w:rsidRPr="00F86EEB">
              <w:rPr>
                <w:rFonts w:cs="Arial"/>
                <w:sz w:val="20"/>
                <w:lang w:val="en-AU"/>
              </w:rPr>
              <w:t>Amendments to current labelling requirements for DHA-rich algal oils in infant formula products are not proposed as part of this Application.</w:t>
            </w:r>
          </w:p>
        </w:tc>
        <w:tc>
          <w:tcPr>
            <w:tcW w:w="2584" w:type="dxa"/>
            <w:vMerge w:val="restart"/>
          </w:tcPr>
          <w:p w14:paraId="6E2CE37F" w14:textId="77777777" w:rsidR="0036199A" w:rsidRPr="00F86EEB" w:rsidRDefault="0036199A" w:rsidP="00A37535">
            <w:pPr>
              <w:spacing w:before="120" w:after="120"/>
              <w:rPr>
                <w:rFonts w:cs="Arial"/>
                <w:sz w:val="20"/>
                <w:lang w:val="en-AU"/>
              </w:rPr>
            </w:pPr>
            <w:r w:rsidRPr="00F86EEB">
              <w:rPr>
                <w:rFonts w:cs="Arial"/>
                <w:sz w:val="20"/>
                <w:lang w:val="en-AU"/>
              </w:rPr>
              <w:t>Not applicable</w:t>
            </w:r>
          </w:p>
        </w:tc>
      </w:tr>
      <w:tr w:rsidR="0036199A" w:rsidRPr="00932F72" w14:paraId="3A12A1F8" w14:textId="77777777" w:rsidTr="00932F72">
        <w:trPr>
          <w:cantSplit/>
        </w:trPr>
        <w:tc>
          <w:tcPr>
            <w:tcW w:w="5795" w:type="dxa"/>
          </w:tcPr>
          <w:p w14:paraId="35440680" w14:textId="77777777" w:rsidR="0036199A" w:rsidRPr="00F86EEB" w:rsidRDefault="0036199A" w:rsidP="00A37535">
            <w:pPr>
              <w:spacing w:before="120" w:after="120"/>
              <w:rPr>
                <w:rFonts w:cs="Arial"/>
                <w:sz w:val="20"/>
                <w:lang w:val="en-AU"/>
              </w:rPr>
            </w:pPr>
            <w:r w:rsidRPr="00F86EEB">
              <w:rPr>
                <w:rFonts w:cs="Arial"/>
                <w:sz w:val="20"/>
                <w:lang w:val="en-AU"/>
              </w:rPr>
              <w:t>(l) The labelling and advertising of infant formula products should not represent those products as an equivalent to, or better than, breast milk.</w:t>
            </w:r>
          </w:p>
        </w:tc>
        <w:tc>
          <w:tcPr>
            <w:tcW w:w="5795" w:type="dxa"/>
            <w:vMerge/>
          </w:tcPr>
          <w:p w14:paraId="0DBA1F31" w14:textId="2D6DB254" w:rsidR="0036199A" w:rsidRPr="00932F72" w:rsidRDefault="0036199A" w:rsidP="00A37535">
            <w:pPr>
              <w:spacing w:before="120" w:after="120"/>
              <w:rPr>
                <w:rFonts w:cs="Arial"/>
                <w:lang w:val="en-AU"/>
              </w:rPr>
            </w:pPr>
          </w:p>
        </w:tc>
        <w:tc>
          <w:tcPr>
            <w:tcW w:w="2584" w:type="dxa"/>
            <w:vMerge/>
          </w:tcPr>
          <w:p w14:paraId="384B413D" w14:textId="77777777" w:rsidR="0036199A" w:rsidRPr="00932F72" w:rsidRDefault="0036199A" w:rsidP="00A37535">
            <w:pPr>
              <w:spacing w:before="120" w:after="120"/>
              <w:rPr>
                <w:rFonts w:cs="Arial"/>
                <w:lang w:val="en-AU"/>
              </w:rPr>
            </w:pPr>
          </w:p>
        </w:tc>
      </w:tr>
      <w:tr w:rsidR="0036199A" w:rsidRPr="00932F72" w14:paraId="4E55D6C1" w14:textId="77777777" w:rsidTr="00932F72">
        <w:trPr>
          <w:cantSplit/>
        </w:trPr>
        <w:tc>
          <w:tcPr>
            <w:tcW w:w="5795" w:type="dxa"/>
          </w:tcPr>
          <w:p w14:paraId="77DC74A4" w14:textId="32868699" w:rsidR="0036199A" w:rsidRPr="00F86EEB" w:rsidRDefault="0036199A" w:rsidP="00A37535">
            <w:pPr>
              <w:spacing w:before="120" w:after="120"/>
              <w:rPr>
                <w:rFonts w:cs="Arial"/>
                <w:sz w:val="20"/>
                <w:lang w:val="en-AU"/>
              </w:rPr>
            </w:pPr>
            <w:r w:rsidRPr="00F86EEB">
              <w:rPr>
                <w:rFonts w:cs="Arial"/>
                <w:sz w:val="20"/>
                <w:lang w:val="en-AU"/>
              </w:rPr>
              <w:lastRenderedPageBreak/>
              <w:t>(m) The labelling and advertising of infant formula products should provide information on the appropriate and safe use of those products.</w:t>
            </w:r>
          </w:p>
        </w:tc>
        <w:tc>
          <w:tcPr>
            <w:tcW w:w="5795" w:type="dxa"/>
            <w:vMerge/>
          </w:tcPr>
          <w:p w14:paraId="5F73B7B4" w14:textId="1C9B04C0" w:rsidR="0036199A" w:rsidRPr="00932F72" w:rsidRDefault="0036199A" w:rsidP="00A37535">
            <w:pPr>
              <w:spacing w:before="120" w:after="120"/>
              <w:rPr>
                <w:rFonts w:cs="Arial"/>
                <w:lang w:val="en-AU"/>
              </w:rPr>
            </w:pPr>
          </w:p>
        </w:tc>
        <w:tc>
          <w:tcPr>
            <w:tcW w:w="2584" w:type="dxa"/>
            <w:vMerge/>
          </w:tcPr>
          <w:p w14:paraId="755B659B" w14:textId="77777777" w:rsidR="0036199A" w:rsidRPr="00932F72" w:rsidRDefault="0036199A" w:rsidP="00A37535">
            <w:pPr>
              <w:spacing w:before="120" w:after="120"/>
              <w:rPr>
                <w:rFonts w:cs="Arial"/>
                <w:lang w:val="en-AU"/>
              </w:rPr>
            </w:pPr>
          </w:p>
        </w:tc>
      </w:tr>
      <w:tr w:rsidR="0036199A" w:rsidRPr="00932F72" w14:paraId="43F91324" w14:textId="77777777" w:rsidTr="00FC190F">
        <w:trPr>
          <w:cantSplit/>
        </w:trPr>
        <w:tc>
          <w:tcPr>
            <w:tcW w:w="5795" w:type="dxa"/>
          </w:tcPr>
          <w:p w14:paraId="4E1C963C" w14:textId="77777777" w:rsidR="0036199A" w:rsidRPr="00F86EEB" w:rsidRDefault="0036199A" w:rsidP="00A37535">
            <w:pPr>
              <w:spacing w:before="120" w:after="120"/>
              <w:rPr>
                <w:rFonts w:cs="Arial"/>
                <w:sz w:val="20"/>
                <w:lang w:val="en-AU"/>
              </w:rPr>
            </w:pPr>
            <w:r w:rsidRPr="00F86EEB">
              <w:rPr>
                <w:rFonts w:cs="Arial"/>
                <w:sz w:val="20"/>
                <w:lang w:val="en-AU"/>
              </w:rPr>
              <w:t>(n) The Authority should:</w:t>
            </w:r>
          </w:p>
          <w:p w14:paraId="39BC59C2" w14:textId="4807101C" w:rsidR="0036199A" w:rsidRPr="00F86EEB" w:rsidRDefault="0036199A" w:rsidP="00A37535">
            <w:pPr>
              <w:spacing w:before="120" w:after="120"/>
              <w:ind w:left="426"/>
              <w:rPr>
                <w:rFonts w:cs="Arial"/>
                <w:sz w:val="20"/>
                <w:lang w:val="en-AU"/>
              </w:rPr>
            </w:pPr>
            <w:proofErr w:type="spellStart"/>
            <w:r w:rsidRPr="00F86EEB">
              <w:rPr>
                <w:rFonts w:cs="Arial"/>
                <w:sz w:val="20"/>
                <w:lang w:val="en-AU"/>
              </w:rPr>
              <w:t>i</w:t>
            </w:r>
            <w:proofErr w:type="spellEnd"/>
            <w:r w:rsidRPr="00F86EEB">
              <w:rPr>
                <w:rFonts w:cs="Arial"/>
                <w:sz w:val="20"/>
                <w:lang w:val="en-AU"/>
              </w:rPr>
              <w:t>. ensure that the prohibitions and restrictions on nutrient content, health, therapeutic, and prophylactic claims in the Food Standards Code are clear and effective for infant formula products; and</w:t>
            </w:r>
          </w:p>
          <w:p w14:paraId="09CC38C7" w14:textId="293013CD" w:rsidR="0036199A" w:rsidRPr="00F86EEB" w:rsidRDefault="0036199A" w:rsidP="00A37535">
            <w:pPr>
              <w:spacing w:before="120" w:after="120"/>
              <w:ind w:left="426"/>
              <w:rPr>
                <w:rFonts w:cs="Arial"/>
                <w:sz w:val="20"/>
                <w:lang w:val="en-AU"/>
              </w:rPr>
            </w:pPr>
            <w:r w:rsidRPr="00F86EEB">
              <w:rPr>
                <w:rFonts w:cs="Arial"/>
                <w:sz w:val="20"/>
                <w:lang w:val="en-AU"/>
              </w:rPr>
              <w:t xml:space="preserve">ii. </w:t>
            </w:r>
            <w:proofErr w:type="gramStart"/>
            <w:r w:rsidRPr="00F86EEB">
              <w:rPr>
                <w:rFonts w:cs="Arial"/>
                <w:sz w:val="20"/>
                <w:lang w:val="en-AU"/>
              </w:rPr>
              <w:t>consider</w:t>
            </w:r>
            <w:proofErr w:type="gramEnd"/>
            <w:r w:rsidRPr="00F86EEB">
              <w:rPr>
                <w:rFonts w:cs="Arial"/>
                <w:sz w:val="20"/>
                <w:lang w:val="en-AU"/>
              </w:rPr>
              <w:t xml:space="preserve"> whether the current labelling regime is leading to consumers being misled about the quality or effectiveness of an infant formula product.</w:t>
            </w:r>
          </w:p>
        </w:tc>
        <w:tc>
          <w:tcPr>
            <w:tcW w:w="5795" w:type="dxa"/>
          </w:tcPr>
          <w:p w14:paraId="7AAAE0D6" w14:textId="4C6482F8" w:rsidR="0036199A" w:rsidRPr="00F86EEB" w:rsidRDefault="0036199A" w:rsidP="00F86EEB">
            <w:pPr>
              <w:spacing w:before="120" w:after="120"/>
              <w:rPr>
                <w:rFonts w:cs="Arial"/>
                <w:sz w:val="20"/>
                <w:lang w:val="en-AU"/>
              </w:rPr>
            </w:pPr>
            <w:r w:rsidRPr="00F86EEB">
              <w:rPr>
                <w:rFonts w:cs="Arial"/>
                <w:sz w:val="20"/>
                <w:lang w:val="en-AU"/>
              </w:rPr>
              <w:t>The appropriate common, descriptive or generic name of the DHA-rich algal oil added to the formula must be declared on a label of an infant formula product in the same manner as other DHA-rich algal oils. The current prohibition on nutrition claims and health claims will also apply.</w:t>
            </w:r>
          </w:p>
        </w:tc>
        <w:tc>
          <w:tcPr>
            <w:tcW w:w="2584" w:type="dxa"/>
            <w:vMerge/>
          </w:tcPr>
          <w:p w14:paraId="08807AF1" w14:textId="77777777" w:rsidR="0036199A" w:rsidRPr="00F86EEB" w:rsidRDefault="0036199A" w:rsidP="00A37535">
            <w:pPr>
              <w:spacing w:before="120" w:after="120"/>
              <w:rPr>
                <w:rFonts w:cs="Arial"/>
                <w:sz w:val="20"/>
                <w:lang w:val="en-AU"/>
              </w:rPr>
            </w:pPr>
          </w:p>
        </w:tc>
      </w:tr>
      <w:tr w:rsidR="008059A0" w:rsidRPr="00932F72" w14:paraId="5F976DF4" w14:textId="77777777" w:rsidTr="00FC190F">
        <w:tc>
          <w:tcPr>
            <w:tcW w:w="14174" w:type="dxa"/>
            <w:gridSpan w:val="3"/>
          </w:tcPr>
          <w:p w14:paraId="1D9E5E61" w14:textId="2921B3C5" w:rsidR="008059A0" w:rsidRPr="00F86EEB" w:rsidRDefault="008059A0" w:rsidP="00932F72">
            <w:pPr>
              <w:keepNext/>
              <w:keepLines/>
              <w:spacing w:before="120" w:after="120"/>
              <w:rPr>
                <w:rFonts w:cs="Arial"/>
                <w:sz w:val="20"/>
                <w:lang w:val="en-AU"/>
              </w:rPr>
            </w:pPr>
            <w:r w:rsidRPr="00F86EEB">
              <w:rPr>
                <w:rFonts w:cs="Arial"/>
                <w:b/>
                <w:i/>
                <w:iCs/>
                <w:sz w:val="20"/>
                <w:lang w:val="en-AU"/>
              </w:rPr>
              <w:t>Relevant international agreements</w:t>
            </w:r>
          </w:p>
        </w:tc>
      </w:tr>
      <w:tr w:rsidR="0036199A" w:rsidRPr="00932F72" w14:paraId="6640F9AF" w14:textId="77777777" w:rsidTr="00932F72">
        <w:trPr>
          <w:cantSplit/>
        </w:trPr>
        <w:tc>
          <w:tcPr>
            <w:tcW w:w="5795" w:type="dxa"/>
          </w:tcPr>
          <w:p w14:paraId="65B7A46F" w14:textId="77777777" w:rsidR="0036199A" w:rsidRPr="00531B96" w:rsidRDefault="0036199A" w:rsidP="00932F72">
            <w:pPr>
              <w:keepNext/>
              <w:keepLines/>
              <w:autoSpaceDE w:val="0"/>
              <w:autoSpaceDN w:val="0"/>
              <w:adjustRightInd w:val="0"/>
              <w:rPr>
                <w:rFonts w:cs="Arial"/>
                <w:sz w:val="20"/>
                <w:lang w:val="en-AU"/>
              </w:rPr>
            </w:pPr>
            <w:r w:rsidRPr="00531B96">
              <w:rPr>
                <w:rFonts w:cs="Arial"/>
                <w:sz w:val="20"/>
                <w:lang w:val="en-AU"/>
              </w:rPr>
              <w:t>The regulation of infant formula products in Australia and New Zealand should be consistent</w:t>
            </w:r>
          </w:p>
          <w:p w14:paraId="512C2BD0" w14:textId="77777777" w:rsidR="0036199A" w:rsidRPr="00531B96" w:rsidRDefault="0036199A" w:rsidP="00932F72">
            <w:pPr>
              <w:keepNext/>
              <w:keepLines/>
              <w:autoSpaceDE w:val="0"/>
              <w:autoSpaceDN w:val="0"/>
              <w:adjustRightInd w:val="0"/>
              <w:rPr>
                <w:rFonts w:cs="Arial"/>
                <w:sz w:val="20"/>
                <w:lang w:val="en-AU"/>
              </w:rPr>
            </w:pPr>
            <w:r w:rsidRPr="00531B96">
              <w:rPr>
                <w:rFonts w:cs="Arial"/>
                <w:sz w:val="20"/>
                <w:lang w:val="en-AU"/>
              </w:rPr>
              <w:t>to the greatest extent possible with:</w:t>
            </w:r>
          </w:p>
          <w:p w14:paraId="26999D36" w14:textId="77777777" w:rsidR="0036199A" w:rsidRPr="00531B96" w:rsidRDefault="0036199A" w:rsidP="00932F72">
            <w:pPr>
              <w:pStyle w:val="ListParagraph"/>
              <w:keepNext/>
              <w:keepLines/>
              <w:numPr>
                <w:ilvl w:val="0"/>
                <w:numId w:val="7"/>
              </w:numPr>
              <w:autoSpaceDE w:val="0"/>
              <w:autoSpaceDN w:val="0"/>
              <w:adjustRightInd w:val="0"/>
              <w:rPr>
                <w:rFonts w:cs="Arial"/>
                <w:sz w:val="20"/>
                <w:lang w:val="en-AU"/>
              </w:rPr>
            </w:pPr>
            <w:r w:rsidRPr="00531B96">
              <w:rPr>
                <w:rFonts w:cs="Arial"/>
                <w:sz w:val="20"/>
                <w:lang w:val="en-AU"/>
              </w:rPr>
              <w:t>relevant World Health Organization agreements; and</w:t>
            </w:r>
          </w:p>
          <w:p w14:paraId="020DD70C" w14:textId="6E30E181" w:rsidR="0036199A" w:rsidRPr="00F86EEB" w:rsidRDefault="0036199A" w:rsidP="00F86EEB">
            <w:pPr>
              <w:pStyle w:val="ListParagraph"/>
              <w:keepNext/>
              <w:keepLines/>
              <w:numPr>
                <w:ilvl w:val="0"/>
                <w:numId w:val="7"/>
              </w:numPr>
              <w:spacing w:before="120" w:after="120"/>
              <w:rPr>
                <w:rFonts w:cs="Arial"/>
                <w:b/>
                <w:i/>
                <w:iCs/>
                <w:sz w:val="20"/>
                <w:lang w:val="en-AU"/>
              </w:rPr>
            </w:pPr>
            <w:r w:rsidRPr="00531B96">
              <w:rPr>
                <w:rFonts w:cs="Arial"/>
                <w:sz w:val="20"/>
                <w:lang w:val="en-AU"/>
              </w:rPr>
              <w:t>relevant World Trade Organization agreements, Codex standards and guidelines</w:t>
            </w:r>
          </w:p>
        </w:tc>
        <w:tc>
          <w:tcPr>
            <w:tcW w:w="5795" w:type="dxa"/>
          </w:tcPr>
          <w:p w14:paraId="67FFA493" w14:textId="5F4832D6" w:rsidR="0036199A" w:rsidRPr="00F86EEB" w:rsidRDefault="0036199A" w:rsidP="00932F72">
            <w:pPr>
              <w:keepNext/>
              <w:keepLines/>
              <w:spacing w:before="120" w:after="120"/>
              <w:rPr>
                <w:rFonts w:cs="Arial"/>
                <w:sz w:val="20"/>
                <w:lang w:val="en-AU"/>
              </w:rPr>
            </w:pPr>
            <w:r w:rsidRPr="00F86EEB">
              <w:rPr>
                <w:sz w:val="20"/>
                <w:lang w:val="en-AU"/>
              </w:rPr>
              <w:t xml:space="preserve">FSANZ has taken account of the relevant World Trade Organization agreements, Codex standards and guidelines. </w:t>
            </w:r>
            <w:r w:rsidR="000B0194" w:rsidRPr="00F86EEB">
              <w:rPr>
                <w:rFonts w:cs="Arial"/>
                <w:sz w:val="20"/>
                <w:lang w:val="en-AU"/>
              </w:rPr>
              <w:t xml:space="preserve">DHA-rich algal oil from </w:t>
            </w:r>
            <w:r w:rsidR="000B0194" w:rsidRPr="00F86EEB">
              <w:rPr>
                <w:rFonts w:cs="Arial"/>
                <w:i/>
                <w:sz w:val="20"/>
                <w:lang w:val="en-AU"/>
              </w:rPr>
              <w:t>Schizochytrium</w:t>
            </w:r>
            <w:r w:rsidR="000B0194" w:rsidRPr="00F86EEB">
              <w:rPr>
                <w:rFonts w:cs="Arial"/>
                <w:sz w:val="20"/>
                <w:lang w:val="en-AU"/>
              </w:rPr>
              <w:t xml:space="preserve"> </w:t>
            </w:r>
            <w:r w:rsidR="00932F72" w:rsidRPr="00F86EEB">
              <w:rPr>
                <w:rFonts w:cs="Arial"/>
                <w:sz w:val="20"/>
                <w:lang w:val="en-AU"/>
              </w:rPr>
              <w:t>sp.</w:t>
            </w:r>
            <w:r w:rsidR="000B0194" w:rsidRPr="00F86EEB">
              <w:rPr>
                <w:rFonts w:cs="Arial"/>
                <w:sz w:val="20"/>
                <w:lang w:val="en-AU"/>
              </w:rPr>
              <w:t xml:space="preserve"> (ATCC PTA-9695) </w:t>
            </w:r>
            <w:r w:rsidRPr="00F86EEB">
              <w:rPr>
                <w:rFonts w:cs="Arial"/>
                <w:sz w:val="20"/>
                <w:lang w:val="en-AU"/>
              </w:rPr>
              <w:t>is permitted and used in infant formula products sold overseas.</w:t>
            </w:r>
          </w:p>
        </w:tc>
        <w:tc>
          <w:tcPr>
            <w:tcW w:w="2584" w:type="dxa"/>
          </w:tcPr>
          <w:p w14:paraId="37E4D639" w14:textId="77777777" w:rsidR="0036199A" w:rsidRPr="00F86EEB" w:rsidRDefault="0036199A" w:rsidP="00932F72">
            <w:pPr>
              <w:pStyle w:val="ListParagraph"/>
              <w:keepNext/>
              <w:keepLines/>
              <w:ind w:left="0"/>
              <w:rPr>
                <w:sz w:val="20"/>
                <w:lang w:val="en-AU"/>
              </w:rPr>
            </w:pPr>
            <w:r w:rsidRPr="00F86EEB">
              <w:rPr>
                <w:sz w:val="20"/>
                <w:lang w:val="en-AU"/>
              </w:rPr>
              <w:t>Yes</w:t>
            </w:r>
          </w:p>
          <w:p w14:paraId="5559849A" w14:textId="77777777" w:rsidR="0036199A" w:rsidRPr="00F86EEB" w:rsidRDefault="0036199A" w:rsidP="00932F72">
            <w:pPr>
              <w:keepNext/>
              <w:keepLines/>
              <w:spacing w:before="120" w:after="120"/>
              <w:rPr>
                <w:rFonts w:cs="Arial"/>
                <w:sz w:val="20"/>
                <w:lang w:val="en-AU"/>
              </w:rPr>
            </w:pPr>
          </w:p>
        </w:tc>
      </w:tr>
    </w:tbl>
    <w:p w14:paraId="456030A2" w14:textId="77777777" w:rsidR="00D03DF2" w:rsidRPr="00932F72" w:rsidRDefault="00D03DF2" w:rsidP="00D03DF2">
      <w:pPr>
        <w:rPr>
          <w:lang w:val="en-AU"/>
        </w:rPr>
      </w:pPr>
    </w:p>
    <w:p w14:paraId="1636878D" w14:textId="77777777" w:rsidR="00D03DF2" w:rsidRPr="00932F72" w:rsidRDefault="00D03DF2" w:rsidP="00D03DF2">
      <w:pPr>
        <w:rPr>
          <w:b/>
          <w:lang w:val="en-AU"/>
        </w:rPr>
      </w:pPr>
    </w:p>
    <w:p w14:paraId="710CF419" w14:textId="77777777" w:rsidR="00932F72" w:rsidRDefault="00932F72" w:rsidP="000B0194">
      <w:pPr>
        <w:pStyle w:val="Heading2"/>
      </w:pPr>
      <w:r>
        <w:br w:type="page"/>
      </w:r>
    </w:p>
    <w:p w14:paraId="1F9AEABD" w14:textId="3B6E6427" w:rsidR="008059A0" w:rsidRPr="00932F72" w:rsidRDefault="00EB46DC" w:rsidP="00F86EEB">
      <w:pPr>
        <w:pStyle w:val="Heading1"/>
      </w:pPr>
      <w:r>
        <w:lastRenderedPageBreak/>
        <w:t>2</w:t>
      </w:r>
      <w:r>
        <w:tab/>
      </w:r>
      <w:r w:rsidR="008059A0" w:rsidRPr="00932F72">
        <w:t>Novel foods</w:t>
      </w:r>
    </w:p>
    <w:p w14:paraId="0EA30913" w14:textId="67F861D3" w:rsidR="00FC190F" w:rsidRPr="00932F72" w:rsidRDefault="00FC190F" w:rsidP="00FC190F">
      <w:pPr>
        <w:spacing w:after="120"/>
        <w:rPr>
          <w:rFonts w:cs="Arial"/>
          <w:lang w:val="en-AU"/>
        </w:rPr>
      </w:pPr>
      <w:r w:rsidRPr="00932F72">
        <w:rPr>
          <w:rFonts w:cs="Arial"/>
          <w:lang w:val="en-AU"/>
        </w:rPr>
        <w:t xml:space="preserve">The table below summarises </w:t>
      </w:r>
      <w:r w:rsidR="00F86EEB">
        <w:rPr>
          <w:rFonts w:cs="Arial"/>
          <w:lang w:val="en-AU"/>
        </w:rPr>
        <w:t xml:space="preserve">how </w:t>
      </w:r>
      <w:r w:rsidR="00F86EEB" w:rsidRPr="00932F72">
        <w:rPr>
          <w:lang w:val="en-AU"/>
        </w:rPr>
        <w:t xml:space="preserve">FSANZ has had regard to the Ministerial </w:t>
      </w:r>
      <w:r w:rsidR="00F86EEB">
        <w:rPr>
          <w:lang w:val="en-AU"/>
        </w:rPr>
        <w:t xml:space="preserve">to the </w:t>
      </w:r>
      <w:r w:rsidR="00F86EEB" w:rsidRPr="00932F72">
        <w:rPr>
          <w:lang w:val="en-AU"/>
        </w:rPr>
        <w:t>Policy Guideline on</w:t>
      </w:r>
      <w:r w:rsidR="00F86EEB" w:rsidRPr="00932F72">
        <w:rPr>
          <w:rFonts w:cs="Arial"/>
          <w:lang w:val="en-AU"/>
        </w:rPr>
        <w:t xml:space="preserve"> </w:t>
      </w:r>
      <w:r w:rsidR="00F86EEB">
        <w:rPr>
          <w:rFonts w:cs="Arial"/>
          <w:lang w:val="en-AU"/>
        </w:rPr>
        <w:t xml:space="preserve">Novel foods. </w:t>
      </w:r>
      <w:r w:rsidRPr="00932F72">
        <w:rPr>
          <w:rFonts w:cs="Arial"/>
          <w:lang w:val="en-AU"/>
        </w:rPr>
        <w:t xml:space="preserve"> </w:t>
      </w:r>
    </w:p>
    <w:p w14:paraId="6AFF5E2F" w14:textId="77777777" w:rsidR="00D03DF2" w:rsidRPr="00932F72" w:rsidRDefault="00D03DF2" w:rsidP="000B0194">
      <w:pPr>
        <w:keepNext/>
        <w:keepLines/>
        <w:rPr>
          <w:b/>
          <w:lang w:val="en-AU"/>
        </w:rPr>
      </w:pPr>
    </w:p>
    <w:tbl>
      <w:tblPr>
        <w:tblStyle w:val="TableGrid"/>
        <w:tblW w:w="14459" w:type="dxa"/>
        <w:tblLayout w:type="fixed"/>
        <w:tblLook w:val="04A0" w:firstRow="1" w:lastRow="0" w:firstColumn="1" w:lastColumn="0" w:noHBand="0" w:noVBand="1"/>
        <w:tblDescription w:val="This table summarises FSANZ's assessment against the Minsterial Policy Guideline on Novel Foods "/>
      </w:tblPr>
      <w:tblGrid>
        <w:gridCol w:w="5778"/>
        <w:gridCol w:w="5812"/>
        <w:gridCol w:w="2869"/>
      </w:tblGrid>
      <w:tr w:rsidR="00384E0F" w:rsidRPr="00932F72" w14:paraId="330465D0" w14:textId="56A63080" w:rsidTr="00384E0F">
        <w:trPr>
          <w:cantSplit/>
          <w:tblHeader/>
        </w:trPr>
        <w:tc>
          <w:tcPr>
            <w:tcW w:w="5778" w:type="dxa"/>
            <w:shd w:val="clear" w:color="auto" w:fill="E5DFEC" w:themeFill="accent4" w:themeFillTint="33"/>
            <w:vAlign w:val="center"/>
          </w:tcPr>
          <w:p w14:paraId="022726B4" w14:textId="1AE6FBF9" w:rsidR="00384E0F" w:rsidRPr="00F86EEB" w:rsidRDefault="00384E0F" w:rsidP="0036199A">
            <w:pPr>
              <w:rPr>
                <w:b/>
                <w:i/>
                <w:sz w:val="20"/>
                <w:lang w:val="en-AU"/>
              </w:rPr>
            </w:pPr>
            <w:r w:rsidRPr="00F86EEB">
              <w:rPr>
                <w:b/>
                <w:sz w:val="20"/>
                <w:szCs w:val="20"/>
                <w:lang w:val="en-AU"/>
              </w:rPr>
              <w:t xml:space="preserve">Specific Policy Principles </w:t>
            </w:r>
          </w:p>
        </w:tc>
        <w:tc>
          <w:tcPr>
            <w:tcW w:w="5812" w:type="dxa"/>
            <w:shd w:val="clear" w:color="auto" w:fill="E5DFEC" w:themeFill="accent4" w:themeFillTint="33"/>
            <w:vAlign w:val="center"/>
          </w:tcPr>
          <w:p w14:paraId="409F8C45" w14:textId="2A5D43F1" w:rsidR="00384E0F" w:rsidRPr="00F86EEB" w:rsidRDefault="00384E0F" w:rsidP="0036199A">
            <w:pPr>
              <w:rPr>
                <w:b/>
                <w:i/>
                <w:sz w:val="20"/>
                <w:lang w:val="en-AU"/>
              </w:rPr>
            </w:pPr>
            <w:r w:rsidRPr="00F86EEB">
              <w:rPr>
                <w:b/>
                <w:sz w:val="20"/>
                <w:szCs w:val="20"/>
                <w:lang w:val="en-AU"/>
              </w:rPr>
              <w:t>Approach</w:t>
            </w:r>
          </w:p>
        </w:tc>
        <w:tc>
          <w:tcPr>
            <w:tcW w:w="2869" w:type="dxa"/>
            <w:shd w:val="clear" w:color="auto" w:fill="E5DFEC" w:themeFill="accent4" w:themeFillTint="33"/>
            <w:vAlign w:val="center"/>
          </w:tcPr>
          <w:p w14:paraId="43D510E0" w14:textId="7935EADA" w:rsidR="00384E0F" w:rsidRPr="00F86EEB" w:rsidRDefault="00384E0F" w:rsidP="0036199A">
            <w:pPr>
              <w:rPr>
                <w:b/>
                <w:i/>
                <w:sz w:val="20"/>
                <w:lang w:val="en-AU"/>
              </w:rPr>
            </w:pPr>
            <w:r w:rsidRPr="00F86EEB">
              <w:rPr>
                <w:b/>
                <w:sz w:val="20"/>
                <w:szCs w:val="20"/>
                <w:lang w:val="en-AU"/>
              </w:rPr>
              <w:t>Does the assessment meet the Policy Principles</w:t>
            </w:r>
          </w:p>
        </w:tc>
      </w:tr>
      <w:tr w:rsidR="00384E0F" w:rsidRPr="00932F72" w14:paraId="5CC90241" w14:textId="77777777" w:rsidTr="008059A0">
        <w:trPr>
          <w:cantSplit/>
        </w:trPr>
        <w:tc>
          <w:tcPr>
            <w:tcW w:w="14459" w:type="dxa"/>
            <w:gridSpan w:val="3"/>
          </w:tcPr>
          <w:p w14:paraId="2D129159" w14:textId="77777777" w:rsidR="00384E0F" w:rsidRPr="00F86EEB" w:rsidRDefault="00384E0F" w:rsidP="0036199A">
            <w:pPr>
              <w:rPr>
                <w:b/>
                <w:i/>
                <w:sz w:val="20"/>
                <w:lang w:val="en-AU"/>
              </w:rPr>
            </w:pPr>
            <w:r w:rsidRPr="00F86EEB">
              <w:rPr>
                <w:b/>
                <w:i/>
                <w:sz w:val="20"/>
                <w:lang w:val="en-AU"/>
              </w:rPr>
              <w:t>High Order Principles</w:t>
            </w:r>
          </w:p>
          <w:p w14:paraId="13591D62" w14:textId="77777777" w:rsidR="00384E0F" w:rsidRPr="00F86EEB" w:rsidRDefault="00384E0F" w:rsidP="00A37535">
            <w:pPr>
              <w:ind w:left="720"/>
              <w:rPr>
                <w:b/>
                <w:sz w:val="20"/>
                <w:lang w:val="en-AU"/>
              </w:rPr>
            </w:pPr>
          </w:p>
        </w:tc>
      </w:tr>
      <w:tr w:rsidR="00384E0F" w:rsidRPr="00932F72" w14:paraId="7D42215C" w14:textId="77777777" w:rsidTr="008059A0">
        <w:trPr>
          <w:cantSplit/>
        </w:trPr>
        <w:tc>
          <w:tcPr>
            <w:tcW w:w="5778" w:type="dxa"/>
          </w:tcPr>
          <w:p w14:paraId="266866A9" w14:textId="488979C9" w:rsidR="00384E0F" w:rsidRPr="00F86EEB" w:rsidRDefault="00384E0F" w:rsidP="00F86EEB">
            <w:pPr>
              <w:spacing w:before="120" w:after="120"/>
              <w:rPr>
                <w:sz w:val="20"/>
                <w:lang w:val="en-AU"/>
              </w:rPr>
            </w:pPr>
            <w:r w:rsidRPr="00F86EEB">
              <w:rPr>
                <w:sz w:val="20"/>
                <w:lang w:val="en-AU"/>
              </w:rPr>
              <w:t>To ensure that priority is given to the protection and improvement of public health and safety in relation to food matters.</w:t>
            </w:r>
          </w:p>
        </w:tc>
        <w:tc>
          <w:tcPr>
            <w:tcW w:w="5812" w:type="dxa"/>
          </w:tcPr>
          <w:p w14:paraId="61A763C9" w14:textId="01F69D06" w:rsidR="00384E0F" w:rsidRPr="00F86EEB" w:rsidRDefault="004A18AF" w:rsidP="00F86EEB">
            <w:pPr>
              <w:spacing w:before="120" w:after="120"/>
              <w:rPr>
                <w:color w:val="00B050"/>
                <w:sz w:val="20"/>
                <w:lang w:val="en-AU"/>
              </w:rPr>
            </w:pPr>
            <w:r w:rsidRPr="00F86EEB">
              <w:rPr>
                <w:rFonts w:cs="Arial"/>
                <w:sz w:val="20"/>
                <w:szCs w:val="22"/>
                <w:lang w:val="en-AU"/>
              </w:rPr>
              <w:t xml:space="preserve">FSANZ has undertaken a Risk and </w:t>
            </w:r>
            <w:r w:rsidR="007920B0" w:rsidRPr="00F86EEB">
              <w:rPr>
                <w:rFonts w:cs="Arial"/>
                <w:sz w:val="20"/>
                <w:szCs w:val="22"/>
                <w:lang w:val="en-AU"/>
              </w:rPr>
              <w:t xml:space="preserve">Technical </w:t>
            </w:r>
            <w:r w:rsidRPr="00F86EEB">
              <w:rPr>
                <w:rFonts w:cs="Arial"/>
                <w:sz w:val="20"/>
                <w:szCs w:val="22"/>
                <w:lang w:val="en-AU"/>
              </w:rPr>
              <w:t xml:space="preserve">assessment (refer to SD1) based on the best available evidence. Based on this assessment, FSANZ has concluded that </w:t>
            </w:r>
            <w:r w:rsidRPr="00F86EEB">
              <w:rPr>
                <w:sz w:val="20"/>
                <w:lang w:val="en-AU"/>
              </w:rPr>
              <w:t xml:space="preserve">oil derived from </w:t>
            </w:r>
            <w:r w:rsidRPr="00F86EEB">
              <w:rPr>
                <w:i/>
                <w:sz w:val="20"/>
                <w:lang w:val="en-AU"/>
              </w:rPr>
              <w:t>Schizochytrium</w:t>
            </w:r>
            <w:r w:rsidRPr="00F86EEB">
              <w:rPr>
                <w:sz w:val="20"/>
                <w:lang w:val="en-AU"/>
              </w:rPr>
              <w:t xml:space="preserve"> sp. </w:t>
            </w:r>
            <w:r w:rsidR="007A0471" w:rsidRPr="00F86EEB">
              <w:rPr>
                <w:sz w:val="20"/>
                <w:lang w:val="en-AU"/>
              </w:rPr>
              <w:t>(</w:t>
            </w:r>
            <w:r w:rsidRPr="00F86EEB">
              <w:rPr>
                <w:sz w:val="20"/>
                <w:lang w:val="en-AU"/>
              </w:rPr>
              <w:t>ATCC PTA-9695</w:t>
            </w:r>
            <w:r w:rsidR="007A0471" w:rsidRPr="00F86EEB">
              <w:rPr>
                <w:sz w:val="20"/>
                <w:lang w:val="en-AU"/>
              </w:rPr>
              <w:t>)</w:t>
            </w:r>
            <w:r w:rsidRPr="00F86EEB">
              <w:rPr>
                <w:sz w:val="20"/>
                <w:lang w:val="en-AU"/>
              </w:rPr>
              <w:t xml:space="preserve"> is as safe as other LC-PUFA oils already permitted to be added to infant formula products.</w:t>
            </w:r>
          </w:p>
        </w:tc>
        <w:tc>
          <w:tcPr>
            <w:tcW w:w="2869" w:type="dxa"/>
          </w:tcPr>
          <w:p w14:paraId="6DAC122C" w14:textId="436A3BAE" w:rsidR="00384E0F" w:rsidRPr="00F86EEB" w:rsidRDefault="004A18AF" w:rsidP="00F86EEB">
            <w:pPr>
              <w:spacing w:before="120" w:after="120"/>
              <w:rPr>
                <w:sz w:val="20"/>
                <w:lang w:val="en-AU"/>
              </w:rPr>
            </w:pPr>
            <w:r w:rsidRPr="00F86EEB">
              <w:rPr>
                <w:sz w:val="20"/>
                <w:lang w:val="en-AU"/>
              </w:rPr>
              <w:t>Yes</w:t>
            </w:r>
          </w:p>
        </w:tc>
      </w:tr>
      <w:tr w:rsidR="00384E0F" w:rsidRPr="00932F72" w14:paraId="02739097" w14:textId="77777777" w:rsidTr="008059A0">
        <w:trPr>
          <w:cantSplit/>
        </w:trPr>
        <w:tc>
          <w:tcPr>
            <w:tcW w:w="5778" w:type="dxa"/>
          </w:tcPr>
          <w:p w14:paraId="4F86A37D" w14:textId="14C42D71" w:rsidR="00384E0F" w:rsidRPr="00F86EEB" w:rsidRDefault="00384E0F" w:rsidP="00F86EEB">
            <w:pPr>
              <w:widowControl/>
              <w:autoSpaceDE w:val="0"/>
              <w:autoSpaceDN w:val="0"/>
              <w:adjustRightInd w:val="0"/>
              <w:spacing w:before="120" w:after="120"/>
              <w:rPr>
                <w:sz w:val="20"/>
                <w:lang w:val="en-AU"/>
              </w:rPr>
            </w:pPr>
            <w:r w:rsidRPr="00F86EEB">
              <w:rPr>
                <w:sz w:val="20"/>
                <w:lang w:val="en-AU"/>
              </w:rPr>
              <w:t>To ensure that consumers have access to sufficient information to enable informed and healthy food choices.</w:t>
            </w:r>
          </w:p>
          <w:p w14:paraId="6D06BE88" w14:textId="3827C57B" w:rsidR="00384E0F" w:rsidRPr="00F86EEB" w:rsidRDefault="00384E0F" w:rsidP="00F86EEB">
            <w:pPr>
              <w:widowControl/>
              <w:autoSpaceDE w:val="0"/>
              <w:autoSpaceDN w:val="0"/>
              <w:adjustRightInd w:val="0"/>
              <w:spacing w:before="120" w:after="120"/>
              <w:rPr>
                <w:i/>
                <w:sz w:val="20"/>
                <w:lang w:val="en-AU"/>
              </w:rPr>
            </w:pPr>
            <w:r w:rsidRPr="00F86EEB">
              <w:rPr>
                <w:i/>
                <w:sz w:val="20"/>
                <w:lang w:val="en-AU"/>
              </w:rPr>
              <w:t xml:space="preserve"> </w:t>
            </w:r>
          </w:p>
        </w:tc>
        <w:tc>
          <w:tcPr>
            <w:tcW w:w="5812" w:type="dxa"/>
          </w:tcPr>
          <w:p w14:paraId="36C847D7" w14:textId="49214ED3" w:rsidR="00384E0F" w:rsidRPr="00F86EEB" w:rsidRDefault="004A18AF" w:rsidP="00F86EEB">
            <w:pPr>
              <w:spacing w:before="120" w:after="120"/>
              <w:rPr>
                <w:i/>
                <w:sz w:val="20"/>
                <w:lang w:val="en-AU"/>
              </w:rPr>
            </w:pPr>
            <w:r w:rsidRPr="00F86EEB">
              <w:rPr>
                <w:rFonts w:cs="Arial"/>
                <w:sz w:val="20"/>
                <w:lang w:val="en-AU"/>
              </w:rPr>
              <w:t>Not applicable to this Application. Amendments to current labelling requirements for DHA-rich algal oils in infant formula products are not proposed as part of this Application.</w:t>
            </w:r>
          </w:p>
        </w:tc>
        <w:tc>
          <w:tcPr>
            <w:tcW w:w="2869" w:type="dxa"/>
          </w:tcPr>
          <w:p w14:paraId="3C78D441" w14:textId="1DD9BE4F" w:rsidR="00384E0F" w:rsidRPr="00F86EEB" w:rsidRDefault="004A18AF" w:rsidP="00F86EEB">
            <w:pPr>
              <w:spacing w:before="120" w:after="120"/>
              <w:rPr>
                <w:sz w:val="20"/>
                <w:lang w:val="en-AU"/>
              </w:rPr>
            </w:pPr>
            <w:r w:rsidRPr="00F86EEB">
              <w:rPr>
                <w:sz w:val="20"/>
                <w:lang w:val="en-AU"/>
              </w:rPr>
              <w:t xml:space="preserve">Not applicable </w:t>
            </w:r>
          </w:p>
        </w:tc>
      </w:tr>
      <w:tr w:rsidR="00384E0F" w:rsidRPr="00932F72" w14:paraId="6F1A6031" w14:textId="77777777" w:rsidTr="008059A0">
        <w:trPr>
          <w:cantSplit/>
        </w:trPr>
        <w:tc>
          <w:tcPr>
            <w:tcW w:w="5778" w:type="dxa"/>
          </w:tcPr>
          <w:p w14:paraId="267EB591" w14:textId="4AC6548B" w:rsidR="00384E0F" w:rsidRPr="00F86EEB" w:rsidRDefault="00384E0F" w:rsidP="00F86EEB">
            <w:pPr>
              <w:spacing w:before="120" w:after="120"/>
              <w:rPr>
                <w:sz w:val="20"/>
                <w:lang w:val="en-AU"/>
              </w:rPr>
            </w:pPr>
            <w:r w:rsidRPr="00F86EEB">
              <w:rPr>
                <w:sz w:val="20"/>
                <w:lang w:val="en-AU"/>
              </w:rPr>
              <w:t>Be consistent with and complement Australian and New Zealand national policies and legislation including those relating to nutrition and health promotion.</w:t>
            </w:r>
          </w:p>
        </w:tc>
        <w:tc>
          <w:tcPr>
            <w:tcW w:w="5812" w:type="dxa"/>
          </w:tcPr>
          <w:p w14:paraId="660844CE" w14:textId="71318B91" w:rsidR="00384E0F" w:rsidRPr="00F86EEB" w:rsidRDefault="00384E0F" w:rsidP="00F86EEB">
            <w:pPr>
              <w:spacing w:before="120" w:after="120"/>
              <w:rPr>
                <w:sz w:val="20"/>
                <w:lang w:val="en-AU"/>
              </w:rPr>
            </w:pPr>
            <w:r w:rsidRPr="00F86EEB">
              <w:rPr>
                <w:rFonts w:cs="Arial"/>
                <w:sz w:val="20"/>
                <w:lang w:val="en-AU"/>
              </w:rPr>
              <w:t>The proposed change is not inconsistent with current national nutrition polices and guidelines for infant feeding.</w:t>
            </w:r>
          </w:p>
        </w:tc>
        <w:tc>
          <w:tcPr>
            <w:tcW w:w="2869" w:type="dxa"/>
          </w:tcPr>
          <w:p w14:paraId="66448E77" w14:textId="4566A561" w:rsidR="00384E0F" w:rsidRPr="00F86EEB" w:rsidRDefault="004A18AF" w:rsidP="00F86EEB">
            <w:pPr>
              <w:spacing w:before="120" w:after="120"/>
              <w:rPr>
                <w:sz w:val="20"/>
                <w:lang w:val="en-AU"/>
              </w:rPr>
            </w:pPr>
            <w:r w:rsidRPr="00F86EEB">
              <w:rPr>
                <w:sz w:val="20"/>
                <w:lang w:val="en-AU"/>
              </w:rPr>
              <w:t>Yes</w:t>
            </w:r>
          </w:p>
        </w:tc>
      </w:tr>
      <w:tr w:rsidR="00384E0F" w:rsidRPr="00932F72" w14:paraId="21417BF9" w14:textId="77777777" w:rsidTr="008059A0">
        <w:trPr>
          <w:cantSplit/>
        </w:trPr>
        <w:tc>
          <w:tcPr>
            <w:tcW w:w="5778" w:type="dxa"/>
          </w:tcPr>
          <w:p w14:paraId="5EBF6DB8" w14:textId="7D17FB1D" w:rsidR="00384E0F" w:rsidRPr="00F86EEB" w:rsidRDefault="00384E0F" w:rsidP="00F86EEB">
            <w:pPr>
              <w:spacing w:before="120" w:after="120"/>
              <w:rPr>
                <w:sz w:val="20"/>
                <w:lang w:val="en-AU"/>
              </w:rPr>
            </w:pPr>
            <w:r w:rsidRPr="00F86EEB">
              <w:rPr>
                <w:sz w:val="20"/>
                <w:lang w:val="en-AU"/>
              </w:rPr>
              <w:t>To draw on the best elements of international regulatory systems (</w:t>
            </w:r>
            <w:r w:rsidR="002946F0" w:rsidRPr="00F86EEB">
              <w:rPr>
                <w:sz w:val="20"/>
                <w:lang w:val="en-AU"/>
              </w:rPr>
              <w:t>i.e.</w:t>
            </w:r>
            <w:r w:rsidRPr="00F86EEB">
              <w:rPr>
                <w:sz w:val="20"/>
                <w:lang w:val="en-AU"/>
              </w:rPr>
              <w:t xml:space="preserve"> protocols, standards, guidelines, assessment processes) and be responsive to future trends and developments (i.e.</w:t>
            </w:r>
          </w:p>
          <w:p w14:paraId="61E92665" w14:textId="482DB582" w:rsidR="00384E0F" w:rsidRPr="00F86EEB" w:rsidRDefault="00384E0F" w:rsidP="00F86EEB">
            <w:pPr>
              <w:spacing w:before="120" w:after="120"/>
              <w:rPr>
                <w:sz w:val="20"/>
                <w:lang w:val="en-AU"/>
              </w:rPr>
            </w:pPr>
            <w:r w:rsidRPr="00F86EEB">
              <w:rPr>
                <w:sz w:val="20"/>
                <w:lang w:val="en-AU"/>
              </w:rPr>
              <w:t>CODEX, WHO/FAO).</w:t>
            </w:r>
          </w:p>
        </w:tc>
        <w:tc>
          <w:tcPr>
            <w:tcW w:w="5812" w:type="dxa"/>
          </w:tcPr>
          <w:p w14:paraId="4872CE6D" w14:textId="432B38F0" w:rsidR="00384E0F" w:rsidRPr="00F86EEB" w:rsidRDefault="00384E0F" w:rsidP="00F86EEB">
            <w:pPr>
              <w:spacing w:before="120" w:after="120"/>
              <w:rPr>
                <w:i/>
                <w:sz w:val="20"/>
                <w:lang w:val="en-AU"/>
              </w:rPr>
            </w:pPr>
            <w:r w:rsidRPr="00F86EEB">
              <w:rPr>
                <w:bCs/>
                <w:sz w:val="20"/>
                <w:lang w:val="en-AU"/>
              </w:rPr>
              <w:t xml:space="preserve">Marine micro-algal oils have been used as a source of the LC-PUFAs in infant formula products around the world since the 1990s. </w:t>
            </w:r>
            <w:r w:rsidR="007A0471" w:rsidRPr="00F86EEB">
              <w:rPr>
                <w:bCs/>
                <w:sz w:val="20"/>
                <w:lang w:val="en-AU"/>
              </w:rPr>
              <w:t>S</w:t>
            </w:r>
            <w:r w:rsidRPr="00F86EEB">
              <w:rPr>
                <w:bCs/>
                <w:sz w:val="20"/>
                <w:lang w:val="en-AU"/>
              </w:rPr>
              <w:t xml:space="preserve">everal assessments </w:t>
            </w:r>
            <w:r w:rsidR="007A0471" w:rsidRPr="00F86EEB">
              <w:rPr>
                <w:bCs/>
                <w:sz w:val="20"/>
                <w:lang w:val="en-AU"/>
              </w:rPr>
              <w:t xml:space="preserve">(by FSANZ and many other regulators around the world) </w:t>
            </w:r>
            <w:r w:rsidRPr="00F86EEB">
              <w:rPr>
                <w:bCs/>
                <w:sz w:val="20"/>
                <w:lang w:val="en-AU"/>
              </w:rPr>
              <w:t>have considered their safety and suitability for use in infant formula products over the years</w:t>
            </w:r>
            <w:r w:rsidR="004A18AF" w:rsidRPr="00F86EEB">
              <w:rPr>
                <w:bCs/>
                <w:sz w:val="20"/>
                <w:lang w:val="en-AU"/>
              </w:rPr>
              <w:t xml:space="preserve">. </w:t>
            </w:r>
            <w:r w:rsidR="004A18AF" w:rsidRPr="00F86EEB">
              <w:rPr>
                <w:sz w:val="20"/>
                <w:lang w:val="en-AU"/>
              </w:rPr>
              <w:t>T</w:t>
            </w:r>
            <w:r w:rsidRPr="00F86EEB">
              <w:rPr>
                <w:sz w:val="20"/>
                <w:lang w:val="en-AU"/>
              </w:rPr>
              <w:t>hus the assessment</w:t>
            </w:r>
            <w:r w:rsidR="002946F0" w:rsidRPr="00F86EEB">
              <w:rPr>
                <w:sz w:val="20"/>
                <w:lang w:val="en-AU"/>
              </w:rPr>
              <w:t xml:space="preserve"> process</w:t>
            </w:r>
            <w:r w:rsidRPr="00F86EEB">
              <w:rPr>
                <w:sz w:val="20"/>
                <w:lang w:val="en-AU"/>
              </w:rPr>
              <w:t xml:space="preserve"> for this </w:t>
            </w:r>
            <w:r w:rsidR="007920B0" w:rsidRPr="00F86EEB">
              <w:rPr>
                <w:sz w:val="20"/>
                <w:lang w:val="en-AU"/>
              </w:rPr>
              <w:t xml:space="preserve">Application </w:t>
            </w:r>
            <w:r w:rsidRPr="00F86EEB">
              <w:rPr>
                <w:sz w:val="20"/>
                <w:lang w:val="en-AU"/>
              </w:rPr>
              <w:t xml:space="preserve">was confirmed to consideration </w:t>
            </w:r>
            <w:r w:rsidR="002946F0" w:rsidRPr="00F86EEB">
              <w:rPr>
                <w:sz w:val="20"/>
                <w:lang w:val="en-AU"/>
              </w:rPr>
              <w:t xml:space="preserve">of whether </w:t>
            </w:r>
            <w:r w:rsidRPr="00F86EEB">
              <w:rPr>
                <w:sz w:val="20"/>
                <w:lang w:val="en-AU"/>
              </w:rPr>
              <w:t xml:space="preserve">this new </w:t>
            </w:r>
            <w:r w:rsidR="002946F0" w:rsidRPr="00F86EEB">
              <w:rPr>
                <w:sz w:val="20"/>
                <w:lang w:val="en-AU"/>
              </w:rPr>
              <w:t xml:space="preserve">DHA-rich </w:t>
            </w:r>
            <w:r w:rsidRPr="00F86EEB">
              <w:rPr>
                <w:sz w:val="20"/>
                <w:lang w:val="en-AU"/>
              </w:rPr>
              <w:t xml:space="preserve">oil was as safe and suitable for use in infant formula products as those currently permitted. </w:t>
            </w:r>
          </w:p>
        </w:tc>
        <w:tc>
          <w:tcPr>
            <w:tcW w:w="2869" w:type="dxa"/>
          </w:tcPr>
          <w:p w14:paraId="77660E5A" w14:textId="0DE35B6C" w:rsidR="00384E0F" w:rsidRPr="00F86EEB" w:rsidRDefault="004A18AF" w:rsidP="00F86EEB">
            <w:pPr>
              <w:pStyle w:val="ListParagraph"/>
              <w:spacing w:before="120" w:after="120"/>
              <w:ind w:left="0"/>
              <w:rPr>
                <w:sz w:val="20"/>
                <w:lang w:val="en-AU"/>
              </w:rPr>
            </w:pPr>
            <w:r w:rsidRPr="00F86EEB">
              <w:rPr>
                <w:sz w:val="20"/>
                <w:lang w:val="en-AU"/>
              </w:rPr>
              <w:t>Yes</w:t>
            </w:r>
          </w:p>
        </w:tc>
      </w:tr>
      <w:tr w:rsidR="00384E0F" w:rsidRPr="00932F72" w14:paraId="5545FBB1" w14:textId="77777777" w:rsidTr="008059A0">
        <w:trPr>
          <w:cantSplit/>
        </w:trPr>
        <w:tc>
          <w:tcPr>
            <w:tcW w:w="5778" w:type="dxa"/>
          </w:tcPr>
          <w:p w14:paraId="38D2A89B" w14:textId="2096E7F2" w:rsidR="00384E0F" w:rsidRPr="00F86EEB" w:rsidRDefault="00384E0F" w:rsidP="00F86EEB">
            <w:pPr>
              <w:spacing w:before="120" w:after="120"/>
              <w:rPr>
                <w:sz w:val="20"/>
                <w:lang w:val="en-AU"/>
              </w:rPr>
            </w:pPr>
            <w:r w:rsidRPr="00F86EEB">
              <w:rPr>
                <w:sz w:val="20"/>
                <w:lang w:val="en-AU"/>
              </w:rPr>
              <w:lastRenderedPageBreak/>
              <w:t>To provide a regulatory environment that is timely, cost effective, transparent and consistent with minimum effective regulation, and which encourages fair trade, industry growth, innovation and international trade.</w:t>
            </w:r>
          </w:p>
        </w:tc>
        <w:tc>
          <w:tcPr>
            <w:tcW w:w="5812" w:type="dxa"/>
          </w:tcPr>
          <w:p w14:paraId="049B1B7A" w14:textId="6ECFBD3E" w:rsidR="004A18AF" w:rsidRPr="00F86EEB" w:rsidRDefault="004A18AF" w:rsidP="00F86EEB">
            <w:pPr>
              <w:pStyle w:val="ListParagraph"/>
              <w:spacing w:before="120" w:after="120"/>
              <w:ind w:left="0"/>
              <w:rPr>
                <w:i/>
                <w:sz w:val="20"/>
                <w:lang w:val="en-AU"/>
              </w:rPr>
            </w:pPr>
            <w:r w:rsidRPr="00F86EEB">
              <w:rPr>
                <w:rFonts w:cs="Arial"/>
                <w:sz w:val="20"/>
                <w:lang w:val="en-AU"/>
              </w:rPr>
              <w:t xml:space="preserve">DHA-rich algal oil from </w:t>
            </w:r>
            <w:r w:rsidRPr="00F86EEB">
              <w:rPr>
                <w:rFonts w:cs="Arial"/>
                <w:i/>
                <w:sz w:val="20"/>
                <w:lang w:val="en-AU"/>
              </w:rPr>
              <w:t>Schizochytrium</w:t>
            </w:r>
            <w:r w:rsidRPr="00F86EEB">
              <w:rPr>
                <w:rFonts w:cs="Arial"/>
                <w:sz w:val="20"/>
                <w:lang w:val="en-AU"/>
              </w:rPr>
              <w:t xml:space="preserve"> </w:t>
            </w:r>
            <w:r w:rsidR="00932F72" w:rsidRPr="00F86EEB">
              <w:rPr>
                <w:rFonts w:cs="Arial"/>
                <w:sz w:val="20"/>
                <w:lang w:val="en-AU"/>
              </w:rPr>
              <w:t>sp.</w:t>
            </w:r>
            <w:r w:rsidRPr="00F86EEB">
              <w:rPr>
                <w:rFonts w:cs="Arial"/>
                <w:sz w:val="20"/>
                <w:lang w:val="en-AU"/>
              </w:rPr>
              <w:t xml:space="preserve"> (ATCC PTA-9695) is permitted and used in some infant formula products sold overseas. Permitting the use of this oil as a novel food in Australia and New Zealand is </w:t>
            </w:r>
            <w:r w:rsidRPr="00F86EEB">
              <w:rPr>
                <w:sz w:val="20"/>
                <w:lang w:val="en-AU"/>
              </w:rPr>
              <w:t xml:space="preserve">transparent and consistent with minimum effective regulation. The permission also encourages industry growth, innovation and international trade. </w:t>
            </w:r>
          </w:p>
        </w:tc>
        <w:tc>
          <w:tcPr>
            <w:tcW w:w="2869" w:type="dxa"/>
          </w:tcPr>
          <w:p w14:paraId="4D79D0A4" w14:textId="1692D1AD" w:rsidR="00384E0F" w:rsidRPr="00F86EEB" w:rsidRDefault="004A18AF" w:rsidP="00F86EEB">
            <w:pPr>
              <w:pStyle w:val="ListParagraph"/>
              <w:spacing w:before="120" w:after="120"/>
              <w:ind w:left="0"/>
              <w:rPr>
                <w:sz w:val="20"/>
                <w:lang w:val="en-AU"/>
              </w:rPr>
            </w:pPr>
            <w:r w:rsidRPr="00F86EEB">
              <w:rPr>
                <w:sz w:val="20"/>
                <w:lang w:val="en-AU"/>
              </w:rPr>
              <w:t>Yes</w:t>
            </w:r>
          </w:p>
        </w:tc>
      </w:tr>
      <w:tr w:rsidR="00384E0F" w:rsidRPr="00932F72" w14:paraId="4AEF276E" w14:textId="77777777" w:rsidTr="008059A0">
        <w:trPr>
          <w:cantSplit/>
        </w:trPr>
        <w:tc>
          <w:tcPr>
            <w:tcW w:w="14459" w:type="dxa"/>
            <w:gridSpan w:val="3"/>
          </w:tcPr>
          <w:p w14:paraId="6405BB4B" w14:textId="7C3991D0" w:rsidR="00384E0F" w:rsidRPr="00F86EEB" w:rsidRDefault="00384E0F" w:rsidP="00F86EEB">
            <w:pPr>
              <w:keepNext/>
              <w:keepLines/>
              <w:spacing w:before="120" w:after="120"/>
              <w:rPr>
                <w:sz w:val="20"/>
                <w:lang w:val="en-AU"/>
              </w:rPr>
            </w:pPr>
            <w:r w:rsidRPr="00F86EEB">
              <w:rPr>
                <w:b/>
                <w:i/>
                <w:sz w:val="20"/>
                <w:lang w:val="en-AU"/>
              </w:rPr>
              <w:t>Specific Principles</w:t>
            </w:r>
          </w:p>
        </w:tc>
      </w:tr>
      <w:tr w:rsidR="00384E0F" w:rsidRPr="00932F72" w14:paraId="09AAB9F0" w14:textId="77777777" w:rsidTr="008059A0">
        <w:trPr>
          <w:cantSplit/>
        </w:trPr>
        <w:tc>
          <w:tcPr>
            <w:tcW w:w="5778" w:type="dxa"/>
          </w:tcPr>
          <w:p w14:paraId="334EC7CE" w14:textId="77777777" w:rsidR="00384E0F" w:rsidRPr="00F86EEB" w:rsidRDefault="00384E0F" w:rsidP="00F86EEB">
            <w:pPr>
              <w:keepNext/>
              <w:keepLines/>
              <w:spacing w:before="120" w:after="120"/>
              <w:rPr>
                <w:sz w:val="20"/>
                <w:lang w:val="en-AU"/>
              </w:rPr>
            </w:pPr>
            <w:r w:rsidRPr="00F86EEB">
              <w:rPr>
                <w:sz w:val="20"/>
                <w:lang w:val="en-AU"/>
              </w:rPr>
              <w:t>To ensure that public and industry confidence in the food system is maintained.</w:t>
            </w:r>
          </w:p>
          <w:p w14:paraId="683DBADF" w14:textId="38693EED" w:rsidR="00384E0F" w:rsidRPr="00F86EEB" w:rsidRDefault="00384E0F" w:rsidP="00F86EEB">
            <w:pPr>
              <w:keepNext/>
              <w:keepLines/>
              <w:spacing w:before="120" w:after="120"/>
              <w:rPr>
                <w:rFonts w:eastAsiaTheme="minorHAnsi"/>
                <w:sz w:val="20"/>
                <w:lang w:val="en-AU"/>
              </w:rPr>
            </w:pPr>
          </w:p>
        </w:tc>
        <w:tc>
          <w:tcPr>
            <w:tcW w:w="5812" w:type="dxa"/>
          </w:tcPr>
          <w:p w14:paraId="3E65FD6E" w14:textId="2F1F9B04" w:rsidR="002946F0" w:rsidRPr="00F86EEB" w:rsidRDefault="004A18AF" w:rsidP="00F86EEB">
            <w:pPr>
              <w:pStyle w:val="ListParagraph"/>
              <w:keepNext/>
              <w:keepLines/>
              <w:spacing w:before="120" w:after="120"/>
              <w:ind w:left="0"/>
              <w:rPr>
                <w:rFonts w:cs="Arial"/>
                <w:sz w:val="20"/>
                <w:lang w:val="en-AU"/>
              </w:rPr>
            </w:pPr>
            <w:r w:rsidRPr="00F86EEB">
              <w:rPr>
                <w:sz w:val="20"/>
                <w:lang w:val="en-AU"/>
              </w:rPr>
              <w:t>Infants are a vulnerable population.</w:t>
            </w:r>
            <w:r w:rsidRPr="00F86EEB">
              <w:rPr>
                <w:i/>
                <w:sz w:val="20"/>
                <w:lang w:val="en-AU"/>
              </w:rPr>
              <w:t xml:space="preserve"> </w:t>
            </w:r>
            <w:r w:rsidRPr="00F86EEB">
              <w:rPr>
                <w:rFonts w:cs="Arial"/>
                <w:sz w:val="20"/>
                <w:lang w:val="en-AU"/>
              </w:rPr>
              <w:t xml:space="preserve">FSANZ has undertaken </w:t>
            </w:r>
            <w:r w:rsidR="002946F0" w:rsidRPr="00F86EEB">
              <w:rPr>
                <w:rFonts w:cs="Arial"/>
                <w:sz w:val="20"/>
                <w:lang w:val="en-AU"/>
              </w:rPr>
              <w:t xml:space="preserve">premarket assessment </w:t>
            </w:r>
            <w:r w:rsidR="007A0471" w:rsidRPr="00F86EEB">
              <w:rPr>
                <w:rFonts w:cs="Arial"/>
                <w:sz w:val="20"/>
                <w:lang w:val="en-AU"/>
              </w:rPr>
              <w:t xml:space="preserve">using </w:t>
            </w:r>
            <w:r w:rsidR="002946F0" w:rsidRPr="00F86EEB">
              <w:rPr>
                <w:rFonts w:cs="Arial"/>
                <w:sz w:val="20"/>
                <w:lang w:val="en-AU"/>
              </w:rPr>
              <w:t xml:space="preserve">a risk analysis approach. </w:t>
            </w:r>
            <w:r w:rsidRPr="00F86EEB">
              <w:rPr>
                <w:rFonts w:cs="Arial"/>
                <w:sz w:val="20"/>
                <w:lang w:val="en-AU"/>
              </w:rPr>
              <w:t xml:space="preserve"> </w:t>
            </w:r>
          </w:p>
          <w:p w14:paraId="5973F0FE" w14:textId="77777777" w:rsidR="002946F0" w:rsidRPr="00F86EEB" w:rsidRDefault="002946F0" w:rsidP="00F86EEB">
            <w:pPr>
              <w:pStyle w:val="ListParagraph"/>
              <w:keepNext/>
              <w:keepLines/>
              <w:spacing w:before="120" w:after="120"/>
              <w:ind w:left="0"/>
              <w:rPr>
                <w:rFonts w:cs="Arial"/>
                <w:sz w:val="20"/>
                <w:lang w:val="en-AU"/>
              </w:rPr>
            </w:pPr>
          </w:p>
          <w:p w14:paraId="2336FECA" w14:textId="2E21FC7D" w:rsidR="004A18AF" w:rsidRPr="00F86EEB" w:rsidRDefault="002946F0" w:rsidP="00F86EEB">
            <w:pPr>
              <w:pStyle w:val="ListParagraph"/>
              <w:keepNext/>
              <w:keepLines/>
              <w:spacing w:before="120" w:after="120"/>
              <w:ind w:left="0"/>
              <w:rPr>
                <w:i/>
                <w:sz w:val="20"/>
                <w:lang w:val="en-AU"/>
              </w:rPr>
            </w:pPr>
            <w:r w:rsidRPr="00F86EEB">
              <w:rPr>
                <w:rFonts w:cs="Arial"/>
                <w:sz w:val="20"/>
                <w:lang w:val="en-AU"/>
              </w:rPr>
              <w:t xml:space="preserve">FSANZ’s </w:t>
            </w:r>
            <w:r w:rsidR="004A18AF" w:rsidRPr="00F86EEB">
              <w:rPr>
                <w:rFonts w:cs="Arial"/>
                <w:sz w:val="20"/>
                <w:lang w:val="en-AU"/>
              </w:rPr>
              <w:t>assessment</w:t>
            </w:r>
            <w:r w:rsidRPr="00F86EEB">
              <w:rPr>
                <w:rFonts w:cs="Arial"/>
                <w:sz w:val="20"/>
                <w:lang w:val="en-AU"/>
              </w:rPr>
              <w:t xml:space="preserve"> </w:t>
            </w:r>
            <w:r w:rsidR="004A18AF" w:rsidRPr="00F86EEB">
              <w:rPr>
                <w:rFonts w:cs="Arial"/>
                <w:sz w:val="20"/>
                <w:lang w:val="en-AU"/>
              </w:rPr>
              <w:t>conclude</w:t>
            </w:r>
            <w:r w:rsidRPr="00F86EEB">
              <w:rPr>
                <w:rFonts w:cs="Arial"/>
                <w:sz w:val="20"/>
                <w:lang w:val="en-AU"/>
              </w:rPr>
              <w:t>s</w:t>
            </w:r>
            <w:r w:rsidR="004A18AF" w:rsidRPr="00F86EEB">
              <w:rPr>
                <w:rFonts w:cs="Arial"/>
                <w:sz w:val="20"/>
                <w:lang w:val="en-AU"/>
              </w:rPr>
              <w:t xml:space="preserve"> that </w:t>
            </w:r>
            <w:r w:rsidR="004A18AF" w:rsidRPr="00F86EEB">
              <w:rPr>
                <w:sz w:val="20"/>
                <w:lang w:val="en-AU"/>
              </w:rPr>
              <w:t xml:space="preserve">oil derived from </w:t>
            </w:r>
            <w:r w:rsidR="004A18AF" w:rsidRPr="00F86EEB">
              <w:rPr>
                <w:i/>
                <w:sz w:val="20"/>
                <w:lang w:val="en-AU"/>
              </w:rPr>
              <w:t>Schizochytrium</w:t>
            </w:r>
            <w:r w:rsidR="004A18AF" w:rsidRPr="00F86EEB">
              <w:rPr>
                <w:sz w:val="20"/>
                <w:lang w:val="en-AU"/>
              </w:rPr>
              <w:t xml:space="preserve"> sp. (ATCC PTA-9695) is as safe as other LC-PUFA oils derived from micro-algae already permitted to be added to infant formula products.</w:t>
            </w:r>
          </w:p>
        </w:tc>
        <w:tc>
          <w:tcPr>
            <w:tcW w:w="2869" w:type="dxa"/>
          </w:tcPr>
          <w:p w14:paraId="1FC2A7C3" w14:textId="13847069" w:rsidR="00384E0F" w:rsidRPr="00F86EEB" w:rsidRDefault="004A18AF" w:rsidP="00F86EEB">
            <w:pPr>
              <w:pStyle w:val="ListParagraph"/>
              <w:keepNext/>
              <w:keepLines/>
              <w:spacing w:before="120" w:after="120"/>
              <w:ind w:left="0"/>
              <w:rPr>
                <w:sz w:val="20"/>
                <w:lang w:val="en-AU"/>
              </w:rPr>
            </w:pPr>
            <w:r w:rsidRPr="00F86EEB">
              <w:rPr>
                <w:sz w:val="20"/>
                <w:lang w:val="en-AU"/>
              </w:rPr>
              <w:t>Yes</w:t>
            </w:r>
          </w:p>
        </w:tc>
      </w:tr>
      <w:tr w:rsidR="00384E0F" w:rsidRPr="00932F72" w14:paraId="43247067" w14:textId="77777777" w:rsidTr="008059A0">
        <w:trPr>
          <w:cantSplit/>
        </w:trPr>
        <w:tc>
          <w:tcPr>
            <w:tcW w:w="5778" w:type="dxa"/>
          </w:tcPr>
          <w:p w14:paraId="7A85ECAC" w14:textId="044917F2" w:rsidR="00384E0F" w:rsidRPr="00F86EEB" w:rsidRDefault="00384E0F" w:rsidP="00F86EEB">
            <w:pPr>
              <w:spacing w:before="120" w:after="120"/>
              <w:rPr>
                <w:sz w:val="20"/>
                <w:lang w:val="en-AU"/>
              </w:rPr>
            </w:pPr>
            <w:r w:rsidRPr="00F86EEB">
              <w:rPr>
                <w:sz w:val="20"/>
                <w:lang w:val="en-AU"/>
              </w:rPr>
              <w:t>To provide an assessment process that aims to protect commercially sensitive information and recognise industry’s intellectual property to the maximum extent possible.</w:t>
            </w:r>
          </w:p>
        </w:tc>
        <w:tc>
          <w:tcPr>
            <w:tcW w:w="5812" w:type="dxa"/>
          </w:tcPr>
          <w:p w14:paraId="7ED5848E" w14:textId="43CF3142" w:rsidR="00384E0F" w:rsidRPr="00F86EEB" w:rsidRDefault="004A18AF" w:rsidP="00F86EEB">
            <w:pPr>
              <w:pStyle w:val="ListParagraph"/>
              <w:spacing w:before="120" w:after="120"/>
              <w:ind w:left="0"/>
              <w:rPr>
                <w:i/>
                <w:sz w:val="20"/>
                <w:lang w:val="en-AU"/>
              </w:rPr>
            </w:pPr>
            <w:r w:rsidRPr="00F86EEB">
              <w:rPr>
                <w:rFonts w:cs="Arial"/>
                <w:sz w:val="20"/>
                <w:lang w:val="en-AU"/>
              </w:rPr>
              <w:t>Not applicable to this Application.</w:t>
            </w:r>
          </w:p>
        </w:tc>
        <w:tc>
          <w:tcPr>
            <w:tcW w:w="2869" w:type="dxa"/>
          </w:tcPr>
          <w:p w14:paraId="604B4860" w14:textId="3334C98D" w:rsidR="00384E0F" w:rsidRPr="007920B0" w:rsidRDefault="004A18AF" w:rsidP="00F86EEB">
            <w:pPr>
              <w:pStyle w:val="ListParagraph"/>
              <w:spacing w:before="120" w:after="120"/>
              <w:ind w:left="0"/>
              <w:rPr>
                <w:sz w:val="20"/>
                <w:lang w:val="en-AU"/>
              </w:rPr>
            </w:pPr>
            <w:r w:rsidRPr="00531B96">
              <w:rPr>
                <w:sz w:val="20"/>
                <w:lang w:val="en-AU"/>
              </w:rPr>
              <w:t>Not applicable</w:t>
            </w:r>
          </w:p>
        </w:tc>
      </w:tr>
      <w:tr w:rsidR="00384E0F" w:rsidRPr="00932F72" w14:paraId="366D97E6" w14:textId="77777777" w:rsidTr="008059A0">
        <w:trPr>
          <w:cantSplit/>
        </w:trPr>
        <w:tc>
          <w:tcPr>
            <w:tcW w:w="5778" w:type="dxa"/>
          </w:tcPr>
          <w:p w14:paraId="01C50C70" w14:textId="43573996" w:rsidR="00384E0F" w:rsidRPr="00F86EEB" w:rsidRDefault="00384E0F" w:rsidP="00F86EEB">
            <w:pPr>
              <w:spacing w:before="120" w:after="120"/>
              <w:rPr>
                <w:sz w:val="20"/>
                <w:lang w:val="en-AU"/>
              </w:rPr>
            </w:pPr>
            <w:r w:rsidRPr="00F86EEB">
              <w:rPr>
                <w:sz w:val="20"/>
                <w:lang w:val="en-AU"/>
              </w:rPr>
              <w:t xml:space="preserve">To ensure consumers are not misled by novel foods or food ingredients, which appear similar to existing foods but may differ in terms of nutrition or function. </w:t>
            </w:r>
          </w:p>
        </w:tc>
        <w:tc>
          <w:tcPr>
            <w:tcW w:w="5812" w:type="dxa"/>
          </w:tcPr>
          <w:p w14:paraId="7F7AD098" w14:textId="5D6C7C6E" w:rsidR="00384E0F" w:rsidRPr="00F86EEB" w:rsidRDefault="002946F0" w:rsidP="00F86EEB">
            <w:pPr>
              <w:pStyle w:val="ListParagraph"/>
              <w:spacing w:before="120" w:after="120"/>
              <w:ind w:left="0"/>
              <w:rPr>
                <w:i/>
                <w:sz w:val="20"/>
                <w:lang w:val="en-AU"/>
              </w:rPr>
            </w:pPr>
            <w:r w:rsidRPr="00531B96">
              <w:rPr>
                <w:sz w:val="20"/>
                <w:lang w:val="en-AU"/>
              </w:rPr>
              <w:t>The Risk and Technical Assessment has compared</w:t>
            </w:r>
            <w:r w:rsidRPr="00F86EEB">
              <w:rPr>
                <w:i/>
                <w:sz w:val="20"/>
                <w:lang w:val="en-AU"/>
              </w:rPr>
              <w:t xml:space="preserve"> </w:t>
            </w:r>
            <w:r w:rsidRPr="00F86EEB">
              <w:rPr>
                <w:sz w:val="20"/>
                <w:lang w:val="en-AU"/>
              </w:rPr>
              <w:t xml:space="preserve">oil derived from </w:t>
            </w:r>
            <w:r w:rsidRPr="00F86EEB">
              <w:rPr>
                <w:i/>
                <w:sz w:val="20"/>
                <w:lang w:val="en-AU"/>
              </w:rPr>
              <w:t>Schizochytrium</w:t>
            </w:r>
            <w:r w:rsidRPr="00F86EEB">
              <w:rPr>
                <w:sz w:val="20"/>
                <w:lang w:val="en-AU"/>
              </w:rPr>
              <w:t xml:space="preserve"> sp. (ATCC PTA-9695) to previously approved DHA-rich algal oils. The nutrition assessment also considered the compositional and bioequivalence of this oil compared to other DHA-rich oils</w:t>
            </w:r>
            <w:r w:rsidR="008E464B" w:rsidRPr="00F86EEB">
              <w:rPr>
                <w:sz w:val="20"/>
                <w:lang w:val="en-AU"/>
              </w:rPr>
              <w:t xml:space="preserve"> </w:t>
            </w:r>
            <w:r w:rsidRPr="00F86EEB">
              <w:rPr>
                <w:sz w:val="20"/>
                <w:lang w:val="en-AU"/>
              </w:rPr>
              <w:t>when fed to healthy term infants.</w:t>
            </w:r>
          </w:p>
        </w:tc>
        <w:tc>
          <w:tcPr>
            <w:tcW w:w="2869" w:type="dxa"/>
          </w:tcPr>
          <w:p w14:paraId="25A141FF" w14:textId="5AD9253D" w:rsidR="00384E0F" w:rsidRPr="00F86EEB" w:rsidRDefault="004A18AF" w:rsidP="00F86EEB">
            <w:pPr>
              <w:pStyle w:val="ListParagraph"/>
              <w:spacing w:before="120" w:after="120"/>
              <w:ind w:left="0"/>
              <w:rPr>
                <w:sz w:val="20"/>
                <w:lang w:val="en-AU"/>
              </w:rPr>
            </w:pPr>
            <w:r w:rsidRPr="00F86EEB">
              <w:rPr>
                <w:sz w:val="20"/>
                <w:lang w:val="en-AU"/>
              </w:rPr>
              <w:t xml:space="preserve">Yes </w:t>
            </w:r>
          </w:p>
        </w:tc>
      </w:tr>
    </w:tbl>
    <w:p w14:paraId="423F81C8" w14:textId="0280EBFF" w:rsidR="00D03DF2" w:rsidRPr="00932F72" w:rsidRDefault="00D03DF2" w:rsidP="00D03DF2">
      <w:pPr>
        <w:rPr>
          <w:rFonts w:cs="Arial"/>
          <w:lang w:val="en-AU"/>
        </w:rPr>
      </w:pPr>
    </w:p>
    <w:sectPr w:rsidR="00D03DF2" w:rsidRPr="00932F72" w:rsidSect="00FF496E">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B4F49" w14:textId="77777777" w:rsidR="002A0C30" w:rsidRDefault="002A0C30">
      <w:r>
        <w:separator/>
      </w:r>
    </w:p>
  </w:endnote>
  <w:endnote w:type="continuationSeparator" w:id="0">
    <w:p w14:paraId="38F68FFE" w14:textId="77777777" w:rsidR="002A0C30" w:rsidRDefault="002A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33A80"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82C3F"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F11CB"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E41">
      <w:rPr>
        <w:rStyle w:val="PageNumber"/>
        <w:noProof/>
      </w:rPr>
      <w:t>7</w:t>
    </w:r>
    <w:r>
      <w:rPr>
        <w:rStyle w:val="PageNumber"/>
      </w:rPr>
      <w:fldChar w:fldCharType="end"/>
    </w:r>
  </w:p>
  <w:p w14:paraId="2D5A6B8B" w14:textId="77777777" w:rsidR="0006473A" w:rsidRDefault="000647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F7AB" w14:textId="77777777" w:rsidR="00F533B6" w:rsidRDefault="00F53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7ACF5" w14:textId="77777777" w:rsidR="002A0C30" w:rsidRDefault="002A0C30">
      <w:r>
        <w:separator/>
      </w:r>
    </w:p>
  </w:footnote>
  <w:footnote w:type="continuationSeparator" w:id="0">
    <w:p w14:paraId="0C547FBB" w14:textId="77777777" w:rsidR="002A0C30" w:rsidRDefault="002A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1286" w14:textId="77777777" w:rsidR="00F533B6" w:rsidRDefault="00F53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4898" w14:textId="7839E2EF" w:rsidR="0006473A" w:rsidRPr="007D03EA" w:rsidRDefault="0006473A"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60ED"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D0E4C7A"/>
    <w:multiLevelType w:val="hybridMultilevel"/>
    <w:tmpl w:val="665C606C"/>
    <w:lvl w:ilvl="0" w:tplc="39CA8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A7352E"/>
    <w:multiLevelType w:val="hybridMultilevel"/>
    <w:tmpl w:val="8C0A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4CBD36CE"/>
    <w:multiLevelType w:val="hybridMultilevel"/>
    <w:tmpl w:val="2BACED04"/>
    <w:lvl w:ilvl="0" w:tplc="65865B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D61F07"/>
    <w:multiLevelType w:val="hybridMultilevel"/>
    <w:tmpl w:val="457C1E98"/>
    <w:lvl w:ilvl="0" w:tplc="0C090017">
      <w:start w:val="1"/>
      <w:numFmt w:val="lowerLetter"/>
      <w:lvlText w:val="%1)"/>
      <w:lvlJc w:val="left"/>
      <w:pPr>
        <w:ind w:left="360" w:hanging="360"/>
      </w:pPr>
      <w:rPr>
        <w:rFonts w:hint="default"/>
      </w:rPr>
    </w:lvl>
    <w:lvl w:ilvl="1" w:tplc="0D4EC234">
      <w:start w:val="1"/>
      <w:numFmt w:val="lowerRoman"/>
      <w:lvlText w:val="%2."/>
      <w:lvlJc w:val="left"/>
      <w:pPr>
        <w:ind w:left="1080" w:hanging="360"/>
      </w:pPr>
      <w:rPr>
        <w:rFonts w:ascii="Arial" w:eastAsiaTheme="minorHAnsi" w:hAnsi="Arial" w:cstheme="minorBidi"/>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1B04E67"/>
    <w:multiLevelType w:val="hybridMultilevel"/>
    <w:tmpl w:val="3ED8361E"/>
    <w:lvl w:ilvl="0" w:tplc="1E726C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6"/>
  </w:num>
  <w:num w:numId="5">
    <w:abstractNumId w:val="1"/>
  </w:num>
  <w:num w:numId="6">
    <w:abstractNumId w:val="8"/>
  </w:num>
  <w:num w:numId="7">
    <w:abstractNumId w:val="2"/>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47B19"/>
    <w:rsid w:val="00051021"/>
    <w:rsid w:val="00051ED9"/>
    <w:rsid w:val="00057181"/>
    <w:rsid w:val="00061B2B"/>
    <w:rsid w:val="0006473A"/>
    <w:rsid w:val="00064B2D"/>
    <w:rsid w:val="00065F1F"/>
    <w:rsid w:val="00076D33"/>
    <w:rsid w:val="00077189"/>
    <w:rsid w:val="00092CDA"/>
    <w:rsid w:val="000A27E9"/>
    <w:rsid w:val="000A3D8B"/>
    <w:rsid w:val="000A5DF8"/>
    <w:rsid w:val="000B0194"/>
    <w:rsid w:val="000B6AF2"/>
    <w:rsid w:val="000D6FD4"/>
    <w:rsid w:val="000E0AE4"/>
    <w:rsid w:val="000E3DBC"/>
    <w:rsid w:val="00113CE3"/>
    <w:rsid w:val="00117522"/>
    <w:rsid w:val="001542D8"/>
    <w:rsid w:val="00180C41"/>
    <w:rsid w:val="00182C4C"/>
    <w:rsid w:val="00197D8D"/>
    <w:rsid w:val="001A1A75"/>
    <w:rsid w:val="001A5902"/>
    <w:rsid w:val="001A7E9A"/>
    <w:rsid w:val="001C27A3"/>
    <w:rsid w:val="001C5295"/>
    <w:rsid w:val="001E09FA"/>
    <w:rsid w:val="00203540"/>
    <w:rsid w:val="0021612B"/>
    <w:rsid w:val="0022083A"/>
    <w:rsid w:val="00221D07"/>
    <w:rsid w:val="00227E4A"/>
    <w:rsid w:val="0023057A"/>
    <w:rsid w:val="0024582E"/>
    <w:rsid w:val="00245C56"/>
    <w:rsid w:val="002547EF"/>
    <w:rsid w:val="00256D65"/>
    <w:rsid w:val="00271F00"/>
    <w:rsid w:val="00273A80"/>
    <w:rsid w:val="0029204E"/>
    <w:rsid w:val="002946F0"/>
    <w:rsid w:val="0029631C"/>
    <w:rsid w:val="002A0194"/>
    <w:rsid w:val="002A0C30"/>
    <w:rsid w:val="002A3314"/>
    <w:rsid w:val="002A5F8B"/>
    <w:rsid w:val="002A7F6C"/>
    <w:rsid w:val="002C00CD"/>
    <w:rsid w:val="002D6809"/>
    <w:rsid w:val="002F6488"/>
    <w:rsid w:val="00320839"/>
    <w:rsid w:val="003213F9"/>
    <w:rsid w:val="00323DBF"/>
    <w:rsid w:val="00326D85"/>
    <w:rsid w:val="003309A8"/>
    <w:rsid w:val="00332B12"/>
    <w:rsid w:val="00351650"/>
    <w:rsid w:val="00351B07"/>
    <w:rsid w:val="00352CF2"/>
    <w:rsid w:val="0036199A"/>
    <w:rsid w:val="00364841"/>
    <w:rsid w:val="00371B29"/>
    <w:rsid w:val="0037656B"/>
    <w:rsid w:val="00384E0F"/>
    <w:rsid w:val="00391769"/>
    <w:rsid w:val="003953E1"/>
    <w:rsid w:val="003956B3"/>
    <w:rsid w:val="003A68BE"/>
    <w:rsid w:val="003B1805"/>
    <w:rsid w:val="003B3C9D"/>
    <w:rsid w:val="003B78E0"/>
    <w:rsid w:val="003C36C8"/>
    <w:rsid w:val="003C4969"/>
    <w:rsid w:val="003E41D5"/>
    <w:rsid w:val="003E46BA"/>
    <w:rsid w:val="003E7D22"/>
    <w:rsid w:val="003F74C1"/>
    <w:rsid w:val="00405B1A"/>
    <w:rsid w:val="00410C76"/>
    <w:rsid w:val="00411907"/>
    <w:rsid w:val="00413CA8"/>
    <w:rsid w:val="00417EE3"/>
    <w:rsid w:val="004207EB"/>
    <w:rsid w:val="00437276"/>
    <w:rsid w:val="00453733"/>
    <w:rsid w:val="00456B54"/>
    <w:rsid w:val="00464643"/>
    <w:rsid w:val="00486793"/>
    <w:rsid w:val="004A18AF"/>
    <w:rsid w:val="004A196C"/>
    <w:rsid w:val="004A2037"/>
    <w:rsid w:val="004C2CE7"/>
    <w:rsid w:val="004F4F98"/>
    <w:rsid w:val="004F5257"/>
    <w:rsid w:val="004F69F6"/>
    <w:rsid w:val="004F79AC"/>
    <w:rsid w:val="005017CF"/>
    <w:rsid w:val="005207D8"/>
    <w:rsid w:val="00531B96"/>
    <w:rsid w:val="0053464E"/>
    <w:rsid w:val="0054272D"/>
    <w:rsid w:val="00562917"/>
    <w:rsid w:val="0057615C"/>
    <w:rsid w:val="00586228"/>
    <w:rsid w:val="005A1D97"/>
    <w:rsid w:val="005A58F3"/>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2FCF"/>
    <w:rsid w:val="006F4A82"/>
    <w:rsid w:val="0070373B"/>
    <w:rsid w:val="007065DF"/>
    <w:rsid w:val="00724FA4"/>
    <w:rsid w:val="00730800"/>
    <w:rsid w:val="007602AA"/>
    <w:rsid w:val="007652EF"/>
    <w:rsid w:val="00772BDC"/>
    <w:rsid w:val="00780792"/>
    <w:rsid w:val="007920B0"/>
    <w:rsid w:val="00796562"/>
    <w:rsid w:val="007A0471"/>
    <w:rsid w:val="007A44B4"/>
    <w:rsid w:val="007A7D3D"/>
    <w:rsid w:val="007B225D"/>
    <w:rsid w:val="007B569F"/>
    <w:rsid w:val="007C174F"/>
    <w:rsid w:val="007C1C64"/>
    <w:rsid w:val="007D03EA"/>
    <w:rsid w:val="007E48BC"/>
    <w:rsid w:val="007E79F7"/>
    <w:rsid w:val="007F3630"/>
    <w:rsid w:val="008059A0"/>
    <w:rsid w:val="00807559"/>
    <w:rsid w:val="008450BC"/>
    <w:rsid w:val="0085334B"/>
    <w:rsid w:val="00870214"/>
    <w:rsid w:val="00874E41"/>
    <w:rsid w:val="00883910"/>
    <w:rsid w:val="00885C51"/>
    <w:rsid w:val="00885EB0"/>
    <w:rsid w:val="00891F4B"/>
    <w:rsid w:val="0089264A"/>
    <w:rsid w:val="00896B85"/>
    <w:rsid w:val="008A22BE"/>
    <w:rsid w:val="008C1B36"/>
    <w:rsid w:val="008C258E"/>
    <w:rsid w:val="008D06C6"/>
    <w:rsid w:val="008E464B"/>
    <w:rsid w:val="008E6250"/>
    <w:rsid w:val="00902AF6"/>
    <w:rsid w:val="00920249"/>
    <w:rsid w:val="00924C80"/>
    <w:rsid w:val="00925219"/>
    <w:rsid w:val="00932F14"/>
    <w:rsid w:val="00932F72"/>
    <w:rsid w:val="0094247F"/>
    <w:rsid w:val="00942D60"/>
    <w:rsid w:val="00950060"/>
    <w:rsid w:val="0096523B"/>
    <w:rsid w:val="00966EE3"/>
    <w:rsid w:val="00972D06"/>
    <w:rsid w:val="009A391C"/>
    <w:rsid w:val="009A50F2"/>
    <w:rsid w:val="009E0A61"/>
    <w:rsid w:val="009E3010"/>
    <w:rsid w:val="009E6D00"/>
    <w:rsid w:val="009F007E"/>
    <w:rsid w:val="009F7065"/>
    <w:rsid w:val="00A4175D"/>
    <w:rsid w:val="00A56DC7"/>
    <w:rsid w:val="00A74FD1"/>
    <w:rsid w:val="00A77BFA"/>
    <w:rsid w:val="00A84041"/>
    <w:rsid w:val="00A84A58"/>
    <w:rsid w:val="00AF06FC"/>
    <w:rsid w:val="00AF3391"/>
    <w:rsid w:val="00AF387F"/>
    <w:rsid w:val="00AF5857"/>
    <w:rsid w:val="00B00E7F"/>
    <w:rsid w:val="00B12F1E"/>
    <w:rsid w:val="00B173DA"/>
    <w:rsid w:val="00B21DCC"/>
    <w:rsid w:val="00B25F37"/>
    <w:rsid w:val="00B37BF0"/>
    <w:rsid w:val="00B44422"/>
    <w:rsid w:val="00B46EA0"/>
    <w:rsid w:val="00B47B24"/>
    <w:rsid w:val="00B52FF0"/>
    <w:rsid w:val="00B731D3"/>
    <w:rsid w:val="00B839A3"/>
    <w:rsid w:val="00B8526B"/>
    <w:rsid w:val="00B902BD"/>
    <w:rsid w:val="00BA24E2"/>
    <w:rsid w:val="00BD2A39"/>
    <w:rsid w:val="00BD2E80"/>
    <w:rsid w:val="00BE11B8"/>
    <w:rsid w:val="00BF7FF0"/>
    <w:rsid w:val="00C057F4"/>
    <w:rsid w:val="00C12502"/>
    <w:rsid w:val="00C160F9"/>
    <w:rsid w:val="00C36578"/>
    <w:rsid w:val="00C40AA5"/>
    <w:rsid w:val="00C46F70"/>
    <w:rsid w:val="00C476D0"/>
    <w:rsid w:val="00C61AC1"/>
    <w:rsid w:val="00C763B6"/>
    <w:rsid w:val="00C836E3"/>
    <w:rsid w:val="00C86577"/>
    <w:rsid w:val="00C92E07"/>
    <w:rsid w:val="00C96868"/>
    <w:rsid w:val="00CA0416"/>
    <w:rsid w:val="00CA641D"/>
    <w:rsid w:val="00CC560B"/>
    <w:rsid w:val="00CC75E2"/>
    <w:rsid w:val="00CD46EB"/>
    <w:rsid w:val="00CD7EBF"/>
    <w:rsid w:val="00CE63EE"/>
    <w:rsid w:val="00D03DF2"/>
    <w:rsid w:val="00D056F1"/>
    <w:rsid w:val="00D11171"/>
    <w:rsid w:val="00D22F3C"/>
    <w:rsid w:val="00D23DB6"/>
    <w:rsid w:val="00D43FE6"/>
    <w:rsid w:val="00D51A95"/>
    <w:rsid w:val="00D60568"/>
    <w:rsid w:val="00D70C7A"/>
    <w:rsid w:val="00D81D38"/>
    <w:rsid w:val="00D9620E"/>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44D49"/>
    <w:rsid w:val="00E44E0D"/>
    <w:rsid w:val="00E5492F"/>
    <w:rsid w:val="00E62DEF"/>
    <w:rsid w:val="00E70A86"/>
    <w:rsid w:val="00E777EC"/>
    <w:rsid w:val="00E80FCD"/>
    <w:rsid w:val="00EA7F2F"/>
    <w:rsid w:val="00EB46DC"/>
    <w:rsid w:val="00EC00DE"/>
    <w:rsid w:val="00EC30E1"/>
    <w:rsid w:val="00EC71AE"/>
    <w:rsid w:val="00ED172A"/>
    <w:rsid w:val="00F11F6C"/>
    <w:rsid w:val="00F14BEC"/>
    <w:rsid w:val="00F225C5"/>
    <w:rsid w:val="00F2587A"/>
    <w:rsid w:val="00F3715D"/>
    <w:rsid w:val="00F420C8"/>
    <w:rsid w:val="00F42A4C"/>
    <w:rsid w:val="00F533B6"/>
    <w:rsid w:val="00F604DE"/>
    <w:rsid w:val="00F86EEB"/>
    <w:rsid w:val="00FB7512"/>
    <w:rsid w:val="00FC190F"/>
    <w:rsid w:val="00FD7547"/>
    <w:rsid w:val="00FF496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5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B46DC"/>
    <w:pPr>
      <w:keepNext/>
      <w:keepLines/>
      <w:spacing w:before="240" w:after="240"/>
      <w:outlineLvl w:val="1"/>
    </w:pPr>
    <w:rPr>
      <w:rFonts w:cs="Arial"/>
      <w:b/>
      <w:bCs/>
      <w:sz w:val="28"/>
      <w:szCs w:val="22"/>
      <w:lang w:val="en-AU" w:bidi="ar-SA"/>
    </w:rPr>
  </w:style>
  <w:style w:type="paragraph" w:styleId="Heading3">
    <w:name w:val="heading 3"/>
    <w:aliases w:val="FSHeading 3,Subheading 1"/>
    <w:basedOn w:val="Normal"/>
    <w:next w:val="Normal"/>
    <w:link w:val="Heading3Char"/>
    <w:autoRedefine/>
    <w:uiPriority w:val="9"/>
    <w:unhideWhenUsed/>
    <w:qFormat/>
    <w:rsid w:val="00AF5857"/>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F5857"/>
    <w:pPr>
      <w:keepNext/>
      <w:spacing w:before="240" w:after="240"/>
      <w:ind w:left="567" w:hanging="567"/>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B46DC"/>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9"/>
    <w:rsid w:val="00AF585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F5857"/>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D03DF2"/>
    <w:pPr>
      <w:widowControl/>
      <w:ind w:left="720"/>
      <w:contextualSpacing/>
    </w:pPr>
    <w:rPr>
      <w:rFonts w:eastAsiaTheme="minorHAnsi" w:cstheme="minorBidi"/>
      <w:szCs w:val="22"/>
      <w:lang w:bidi="ar-SA"/>
    </w:rPr>
  </w:style>
  <w:style w:type="paragraph" w:customStyle="1" w:styleId="Bullet">
    <w:name w:val="Bullet"/>
    <w:basedOn w:val="Normal"/>
    <w:rsid w:val="004A196C"/>
    <w:pPr>
      <w:numPr>
        <w:numId w:val="8"/>
      </w:numPr>
      <w:tabs>
        <w:tab w:val="clear" w:pos="577"/>
      </w:tabs>
      <w:ind w:left="567" w:hanging="567"/>
    </w:pPr>
    <w:rPr>
      <w:rFonts w:ascii="Times New Roman" w:hAnsi="Times New Roman"/>
      <w:sz w:val="24"/>
      <w:lang w:bidi="ar-SA"/>
    </w:rPr>
  </w:style>
  <w:style w:type="character" w:customStyle="1" w:styleId="FootnoteTextChar">
    <w:name w:val="Footnote Text Char"/>
    <w:aliases w:val="FSFootnote Text Char,Footnotes Text Char,FSFootnotes Text Char"/>
    <w:basedOn w:val="DefaultParagraphFont"/>
    <w:link w:val="FootnoteText"/>
    <w:rsid w:val="00FF496E"/>
    <w:rPr>
      <w:rFonts w:ascii="Arial" w:hAnsi="Arial"/>
      <w:lang w:eastAsia="en-US" w:bidi="en-US"/>
    </w:rPr>
  </w:style>
  <w:style w:type="paragraph" w:styleId="CommentSubject">
    <w:name w:val="annotation subject"/>
    <w:basedOn w:val="CommentText"/>
    <w:next w:val="CommentText"/>
    <w:link w:val="CommentSubjectChar"/>
    <w:rsid w:val="00EB46DC"/>
    <w:rPr>
      <w:b/>
      <w:bCs/>
    </w:rPr>
  </w:style>
  <w:style w:type="character" w:customStyle="1" w:styleId="CommentSubjectChar">
    <w:name w:val="Comment Subject Char"/>
    <w:basedOn w:val="CommentTextChar"/>
    <w:link w:val="CommentSubject"/>
    <w:rsid w:val="00EB46DC"/>
    <w:rPr>
      <w:rFonts w:ascii="Arial" w:hAnsi="Arial"/>
      <w:b/>
      <w:bCs/>
      <w:lang w:eastAsia="en-US" w:bidi="en-US"/>
    </w:rPr>
  </w:style>
  <w:style w:type="paragraph" w:styleId="Revision">
    <w:name w:val="Revision"/>
    <w:hidden/>
    <w:uiPriority w:val="99"/>
    <w:semiHidden/>
    <w:rsid w:val="00EB46DC"/>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B46DC"/>
    <w:pPr>
      <w:keepNext/>
      <w:keepLines/>
      <w:spacing w:before="240" w:after="240"/>
      <w:outlineLvl w:val="1"/>
    </w:pPr>
    <w:rPr>
      <w:rFonts w:cs="Arial"/>
      <w:b/>
      <w:bCs/>
      <w:sz w:val="28"/>
      <w:szCs w:val="22"/>
      <w:lang w:val="en-AU" w:bidi="ar-SA"/>
    </w:rPr>
  </w:style>
  <w:style w:type="paragraph" w:styleId="Heading3">
    <w:name w:val="heading 3"/>
    <w:aliases w:val="FSHeading 3,Subheading 1"/>
    <w:basedOn w:val="Normal"/>
    <w:next w:val="Normal"/>
    <w:link w:val="Heading3Char"/>
    <w:autoRedefine/>
    <w:uiPriority w:val="9"/>
    <w:unhideWhenUsed/>
    <w:qFormat/>
    <w:rsid w:val="00AF5857"/>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F5857"/>
    <w:pPr>
      <w:keepNext/>
      <w:spacing w:before="240" w:after="240"/>
      <w:ind w:left="567" w:hanging="567"/>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B46DC"/>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9"/>
    <w:rsid w:val="00AF585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F5857"/>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D03DF2"/>
    <w:pPr>
      <w:widowControl/>
      <w:ind w:left="720"/>
      <w:contextualSpacing/>
    </w:pPr>
    <w:rPr>
      <w:rFonts w:eastAsiaTheme="minorHAnsi" w:cstheme="minorBidi"/>
      <w:szCs w:val="22"/>
      <w:lang w:bidi="ar-SA"/>
    </w:rPr>
  </w:style>
  <w:style w:type="paragraph" w:customStyle="1" w:styleId="Bullet">
    <w:name w:val="Bullet"/>
    <w:basedOn w:val="Normal"/>
    <w:rsid w:val="004A196C"/>
    <w:pPr>
      <w:numPr>
        <w:numId w:val="8"/>
      </w:numPr>
      <w:tabs>
        <w:tab w:val="clear" w:pos="577"/>
      </w:tabs>
      <w:ind w:left="567" w:hanging="567"/>
    </w:pPr>
    <w:rPr>
      <w:rFonts w:ascii="Times New Roman" w:hAnsi="Times New Roman"/>
      <w:sz w:val="24"/>
      <w:lang w:bidi="ar-SA"/>
    </w:rPr>
  </w:style>
  <w:style w:type="character" w:customStyle="1" w:styleId="FootnoteTextChar">
    <w:name w:val="Footnote Text Char"/>
    <w:aliases w:val="FSFootnote Text Char,Footnotes Text Char,FSFootnotes Text Char"/>
    <w:basedOn w:val="DefaultParagraphFont"/>
    <w:link w:val="FootnoteText"/>
    <w:rsid w:val="00FF496E"/>
    <w:rPr>
      <w:rFonts w:ascii="Arial" w:hAnsi="Arial"/>
      <w:lang w:eastAsia="en-US" w:bidi="en-US"/>
    </w:rPr>
  </w:style>
  <w:style w:type="paragraph" w:styleId="CommentSubject">
    <w:name w:val="annotation subject"/>
    <w:basedOn w:val="CommentText"/>
    <w:next w:val="CommentText"/>
    <w:link w:val="CommentSubjectChar"/>
    <w:rsid w:val="00EB46DC"/>
    <w:rPr>
      <w:b/>
      <w:bCs/>
    </w:rPr>
  </w:style>
  <w:style w:type="character" w:customStyle="1" w:styleId="CommentSubjectChar">
    <w:name w:val="Comment Subject Char"/>
    <w:basedOn w:val="CommentTextChar"/>
    <w:link w:val="CommentSubject"/>
    <w:rsid w:val="00EB46DC"/>
    <w:rPr>
      <w:rFonts w:ascii="Arial" w:hAnsi="Arial"/>
      <w:b/>
      <w:bCs/>
      <w:lang w:eastAsia="en-US" w:bidi="en-US"/>
    </w:rPr>
  </w:style>
  <w:style w:type="paragraph" w:styleId="Revision">
    <w:name w:val="Revision"/>
    <w:hidden/>
    <w:uiPriority w:val="99"/>
    <w:semiHidden/>
    <w:rsid w:val="00EB46DC"/>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34E937-15DC-419D-A41C-B7D32451F846}"/>
</file>

<file path=customXml/itemProps2.xml><?xml version="1.0" encoding="utf-8"?>
<ds:datastoreItem xmlns:ds="http://schemas.openxmlformats.org/officeDocument/2006/customXml" ds:itemID="{DF9C48B4-9B21-4368-AA0F-3048C05D2681}"/>
</file>

<file path=customXml/itemProps3.xml><?xml version="1.0" encoding="utf-8"?>
<ds:datastoreItem xmlns:ds="http://schemas.openxmlformats.org/officeDocument/2006/customXml" ds:itemID="{DC13A6D4-00CC-4BB6-9120-6659BC88E7D0}"/>
</file>

<file path=customXml/itemProps4.xml><?xml version="1.0" encoding="utf-8"?>
<ds:datastoreItem xmlns:ds="http://schemas.openxmlformats.org/officeDocument/2006/customXml" ds:itemID="{F89E3362-F645-44FB-ACA2-FC2BFE65F80D}"/>
</file>

<file path=docProps/app.xml><?xml version="1.0" encoding="utf-8"?>
<Properties xmlns="http://schemas.openxmlformats.org/officeDocument/2006/extended-properties" xmlns:vt="http://schemas.openxmlformats.org/officeDocument/2006/docPropsVTypes">
  <Template>Normal</Template>
  <TotalTime>0</TotalTime>
  <Pages>1</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A1124 DHA algal oil to infant formula products SD2</dc:title>
  <dc:creator/>
  <cp:lastModifiedBy/>
  <cp:revision>1</cp:revision>
  <dcterms:created xsi:type="dcterms:W3CDTF">2016-10-26T23:41:00Z</dcterms:created>
  <dcterms:modified xsi:type="dcterms:W3CDTF">2016-10-26T23:44:00Z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